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76615">
      <w:pPr>
        <w:shd w:val="clear" w:color="auto" w:fill="FFFFFF"/>
        <w:adjustRightInd w:val="0"/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eastAsia="方正小标宋简体"/>
          <w:bCs/>
          <w:sz w:val="44"/>
          <w:szCs w:val="44"/>
        </w:rPr>
        <w:t>连云港市赣榆区202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r>
        <w:rPr>
          <w:rFonts w:eastAsia="方正小标宋简体"/>
          <w:bCs/>
          <w:sz w:val="44"/>
          <w:szCs w:val="44"/>
        </w:rPr>
        <w:t>年度法治政府</w:t>
      </w:r>
    </w:p>
    <w:p w14:paraId="3C9A2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建设情况报告</w:t>
      </w:r>
    </w:p>
    <w:p w14:paraId="4B07385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2025年，赣榆区坚持以习近平新时代中国特色社会主义思想为指导，深入贯彻习近平法治思想，全面落实中央、省、市关于法治政府建设的决策部署，锚定法治赣榆、法治政府、法治社会一体化建设总要求，全面压实党政主要负责人推进法治建设第一责任人职责，以制度创新为抓手，以效能提升为目标，全面深化依法行政，加快推进政府治理体系和治理能力现代化，法治政府建设取得显著成效，建设项目“承诺即开工”审批服务、不动产历史遗留问题化解两项实践入选“中国地方政府营商环境优秀案例”，行政事项协同复审机制作为样板在全市推广，为区域高质量发展提供了坚强的法治保障。现将本年度法治政府建设有关情况报告如下：</w:t>
      </w:r>
    </w:p>
    <w:p w14:paraId="64B55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sz w:val="32"/>
          <w:szCs w:val="32"/>
          <w:lang w:val="zh-CN"/>
        </w:rPr>
        <w:t>一、本年度推进法治政府建设的主要举措和成效</w:t>
      </w:r>
    </w:p>
    <w:p w14:paraId="5589D22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（一）完善政府机构职能体系，全面提升政府履职效能。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深化职能体系优化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聚焦基层治理实际需求，试点建立区镇综合行政执法协同联动机制，编制镇级行政执法三类事项清单及15项高频违法事项场景清单，开发“镇级吹哨、部门报到”平台，实现执法事项全流程闭环管理。对15个镇行政处罚权赋权事项开展动态评估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收回436项镇行政处罚权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确保执法权限与基层执法能力精准匹配，推动执法职能科学配置、高效运行。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推进政务服务改革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深入推进“无证明城市”建设，实现182个事项免于提交证明材料，全面推广村级证明“云开具”服务，全年办结证明2.85万件，证明材料压减62.8%，该做法入选全省基层减负创新案例。深化“高效办成一件事”改革，推动“海洋渔业产业链一件事”集成改革，形成可复制推广的改革经验。全面推行审批服务“马上办、网上办、就近办、一次办”，持续提升政务服务标准化、规范化、便利化水平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优化法治营商环境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健全“2110”企业诉求接诉即办机制，以信息化手段全程跟踪工单办理进度，实现企业诉求按时办结率100%，高效解决多部门、跨领域复杂疑难问题。严格落实公平竞争审查制度，坚决破除地方保护和行政垄断，持续清理废除妨碍统一市场和公平竞争的政策规定，平等保护各类市场主体合法权益。纵深推进投资审批制度改革，推行建设项目“承诺即开工”审批服务，大幅压缩项目落地时限，切实降低企业制度性交易成本。</w:t>
      </w:r>
    </w:p>
    <w:p w14:paraId="6FDB52B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（二）完善依法行政制度体系，加快推进政府治理法治化。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严格规范性文件管理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健全行政规范性文件全生命周期管理机制，编制全区年度规范性文件制定计划和重大行政决策目录，强化合法性审查“关口前移”。聚焦民营经济发展，开展行政规范性文件专项清理2次，修改废止不符合发展要求的文件34件，从源头上保障政策文件的合法性、科学性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升级协同复审机制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创新构建行政事项协同复审机制，充实区级审查力量，提升镇级审查能力，全年为各镇各部门行政事项复审把关390余件，提出合理意见建议1000余条，化解涉诉涉访事项32件，经复审事项实现“零纠错、零败诉”，该机制作为样板在全市推广。创新法律顾问统聘统管模式，公开遴选6家律师事务所，为24家区直部门提供专业化、常态化法律服务，破解以往“分散聘用、资源不均、效能不足”难题，为依法行政提供坚实专业支撑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健全依法决策体系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强化重大行政决策合法性审查，全年完成区政府各类政策文件、合同协议等合法性审查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144</w:t>
      </w:r>
      <w:r>
        <w:rPr>
          <w:rFonts w:ascii="Times New Roman" w:hAnsi="Times New Roman" w:eastAsia="仿宋_GB2312" w:cs="Times New Roman"/>
          <w:sz w:val="32"/>
          <w:szCs w:val="32"/>
        </w:rPr>
        <w:t>件，召开涉法事务会商会议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164</w:t>
      </w:r>
      <w:r>
        <w:rPr>
          <w:rFonts w:ascii="Times New Roman" w:hAnsi="Times New Roman" w:eastAsia="仿宋_GB2312" w:cs="Times New Roman"/>
          <w:sz w:val="32"/>
          <w:szCs w:val="32"/>
        </w:rPr>
        <w:t>次，确保决策于法有据。建立重大行政决策跟踪反馈和后评估机制，对重大产业项目、民生工程等决策事项实施动态监管，及时调整完善决策内容，提升决策科学化、民主化、法治化水平。</w:t>
      </w:r>
    </w:p>
    <w:p w14:paraId="579E3B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（三）完善行政执法工作体系，大力推进严格规范公正文明执法</w:t>
      </w:r>
      <w:r>
        <w:rPr>
          <w:rFonts w:hint="eastAsia" w:ascii="楷体_GB2312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深化“综合查一次”改革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依托数据共享和流程再造，纵深推进“综合查一次”改革，制定发布非现场监管场景清单26个，推广远程监管等“非现场”智慧监管模式，全年开展联合检查556次，累计减少重复检查2200余次，市场主体受检频次下降60%，12345热线回访企业满意率超99%。分类推进“差异化”监管，根据企业信用等级动态调整抽查比例和频次，让监管既有力度又有温度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规范行政执法行为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部署开展提升行政执法质量三年行动，严格执行行政执法人员持证上岗和资格管理制度，全年新增行政执法证件283人，常态化开展执法业务培训和实战演练，累计培训执法人员超3000人次，全面提升执法人员专业素养。严格落实行政执法“三项制度”，规范行政执法自由裁量权，开展行政执法突出问题专项整治，查纠执法不规范问题线索14个，开展案卷评查7次，整改程序违法、文书不规范等问题90余条，推动执法行为标准化、规范化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推行包容审慎执法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创新</w:t>
      </w:r>
      <w:r>
        <w:rPr>
          <w:rFonts w:ascii="Times New Roman" w:hAnsi="Times New Roman" w:eastAsia="仿宋_GB2312" w:cs="Times New Roman"/>
          <w:sz w:val="32"/>
          <w:szCs w:val="32"/>
        </w:rPr>
        <w:t>建立涉企执法经济影响评估制度，对5万元以上罚款、责令停产停业等重大涉企执法实行“先评估后处罚”，全年开展评估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仿宋_GB2312" w:cs="Times New Roman"/>
          <w:sz w:val="32"/>
          <w:szCs w:val="32"/>
        </w:rPr>
        <w:t>件，其中某玩具厂行政处罚评估案入选全市规范行政执法典型案例。出台免罚、轻罚、减罚和高频违法事项“3+1”清单977项，全年开展柔性执法4014起，推动执法从“严管严罚”向“合规指导”转变。推行“三书同达”机制，向企业发出法律风险提示书、整改建议书、信用修复指导书200余份，帮助企业查找问题、整改提升、修复信用，营造包容审慎的监管环境。</w:t>
      </w:r>
    </w:p>
    <w:p w14:paraId="63B38A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（四）完善矛盾纠纷预防化解体系，不断促进社会公平正义。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健全多元解纷机制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深化“五治提升”工程，建成法治“微阵地” 75个，整合组建区基层治理服务中心，推行“1+3+N”联合办公模式，实现矛盾纠纷“一站式”化解。健全基层人民调解体系，建成15个行业性专业性人民调解委员会，公开选聘20名专职人民调解员，打造“润心亭”“海上枫桥”“为爱护航”等特色调解品牌，全年成功调解各类矛盾 9738起。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提升行政争议化解效能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充分发挥行政复议化解行政争议主渠道作用，在15个镇司法所设立行政复议联络点，优化“调解先行、快速流转”工作模式，全年行政复议收案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433</w:t>
      </w:r>
      <w:r>
        <w:rPr>
          <w:rFonts w:ascii="Times New Roman" w:hAnsi="Times New Roman" w:eastAsia="仿宋_GB2312" w:cs="Times New Roman"/>
          <w:sz w:val="32"/>
          <w:szCs w:val="32"/>
        </w:rPr>
        <w:t>件，为同期法院行政诉讼收案数的3.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倍，90% 以上行政争议在复议环节得到实质性化解。出台《行政诉讼案件化解及败诉风险预警工作规则》，建立“一案三报备”和“三色风险预警”制度，对高风险案件提前介入、精准化解。创新“法院+属地行政机关”“政协+法院”协作解纷模式，实质化解行政争议54起，其中涉侨资企业买卖合同纠纷入选最高人民法院多元解纷案例库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深化普法守法实践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严格落实“谁执法谁普法”普法责任制，组织开展主题普法活动120余场，组建法治宣讲团深入村社开展农村集体资产管理、婚姻家庭等专题讲座100余场次。充分利用新媒体平台推送普法内容680余条，创新短视频普法、以案释法等宣传载体，针对6个法治薄弱村（社区）开展靶向普法和帮扶。聚焦企业法治需求，发放《涉企法律问题50问》等材料3万余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不断提升全民法治意识，营造“办事依法、遇事找法、解决问题用法、化解矛盾靠法”的浓厚氛围。</w:t>
      </w:r>
    </w:p>
    <w:p w14:paraId="290A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sz w:val="32"/>
          <w:szCs w:val="32"/>
          <w:lang w:val="zh-CN"/>
        </w:rPr>
        <w:t>二、本年度政府主要负责人履行推进法治政府建设第一责任人职责情况</w:t>
      </w:r>
    </w:p>
    <w:p w14:paraId="4B82420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一是坚持党的领导，高位统筹推进。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始终把党的领导作为法治政府建设的最高原则，将法治政府建设纳入全区“10+1”重点工程统筹推进，与经济社会发展同规划、同部署、同考核。区委常委会、区政府常务会多次专题听取法治政府建设工作情况汇报，研究解决法治建设领域重大问题。召开区委全面依法治区委员会会议，部署法治政府建设重点工作，推动法治建设与重大项目推进、产业升级、基层治理等中心工作深度融合。政府主要负责人带头履行法治建设第一责任人职责，亲自调研督导法治政府建设工作，亲自督办重大行政争议化解、法治化营商环境优化等重点事项，确保法治政府建设各项任务落地见效。</w:t>
      </w:r>
    </w:p>
    <w:p w14:paraId="2BBB09F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二是紧抓关键少数，压实履责责任。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认真落实党政主要负责人履行推进法治建设第一责任人职责规定，健全“一把手”抓法治、抓法治促发展的工作格局。持续深化述法工作，推动各级各部门主要负责人切实履行法治建设主体责任。将学习贯彻习近平法治思想作为首要政治任务，制定政府常务会学法计划，全年开展法律法规学习10次，专题学习《中华人民共和国民营经济促进法》《关于严格规范涉企行政检查的意见》等法律法规，不断提升领导干部运用法治思维和法治方式解决问题、推动发展的能力。组织各级领导干部旁听庭审、行政诉讼模拟法庭等活动14次，依托“海州湾大讲堂”举办法治专题培训2期，推动领导干部树牢法治理念、坚持依法办事。</w:t>
      </w:r>
    </w:p>
    <w:p w14:paraId="24309FB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三是强化示范引领，提升行政能力。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政府主要负责人带头尊法学法守法用法，在重大决策、行政执法、政务服务等工作中坚持依法履职，为全区各级干部作出示范。带头接受各类监督，主动向人大报告工作，向政协通报情况，认真办理人大代表建议和政协委员提案。强化法治能力建设，印发全区领导干部应知应会党内法规和国家法律法规清单，推动各级领导干部常态化开展法治学习，不断提升依法决策、依法行政、依法管理的能力和水平。坚持问题导向，深入基层调研法治政府建设中的突出问题，针对性出台政策措施，推动法治政府建设提质增效。</w:t>
      </w:r>
    </w:p>
    <w:p w14:paraId="0F13F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sz w:val="32"/>
          <w:szCs w:val="32"/>
          <w:lang w:val="zh-CN"/>
        </w:rPr>
        <w:t>三、法治政府建设存在的不足</w:t>
      </w:r>
    </w:p>
    <w:p w14:paraId="16149C2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2025年，我区法治政府建设取得了显著成效，但与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要求相比，与人民群众对法治建设的期盼相比，与高质量发展的需求相比，仍存在一些短板和不足：</w:t>
      </w:r>
    </w:p>
    <w:p w14:paraId="3E9F259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法治建设与业务融合不够深入，部分部门运用法治思维的主动性不足，法治服务保障发展的效能未充分发挥。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基层法治建设推进不均衡，存在“上热中温下冷”现象，基层法治力量薄弱，制度执行效能在末端有所衰减。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新兴领域法治供给不足，相关监管规则和制度体系不健全，数字化监管应用有限，法治服务生态需进一步完善。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营商环境法治精准度不高，部分领域监管存在不足，涉企法治服务不够便捷精准，相关干部法治能力仍需提升。</w:t>
      </w:r>
    </w:p>
    <w:p w14:paraId="3975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sz w:val="32"/>
          <w:szCs w:val="32"/>
          <w:lang w:val="zh-CN"/>
        </w:rPr>
        <w:t>四、下一年度的主要安排</w:t>
      </w:r>
    </w:p>
    <w:p w14:paraId="702295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2026年，赣榆区将以习近平法治思想为指导，紧扣“十五五”发展开局要求，坚持法治一体建设，聚焦问题补短板，重点抓好四方面工作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103A76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一是强化政治引领，推动法治建设与中心工作深度融合。</w:t>
      </w:r>
      <w:r>
        <w:rPr>
          <w:rFonts w:ascii="Times New Roman" w:hAnsi="Times New Roman" w:eastAsia="仿宋_GB2312" w:cs="Times New Roman"/>
          <w:sz w:val="32"/>
          <w:szCs w:val="32"/>
        </w:rPr>
        <w:t>坚持把党的领导贯穿法治政府建设全过程，将法治建设与石化新材料、新能源、海洋经济等重点产业发展同谋划、同推进，为重大项目落地、产业转型升级提供全周期法治服务。健全领导干部学法用法长效机制，通过庭审观摩、案例研讨、专题培训等形式，持续提升领导干部法治素养和依法办事能力。严格落实法治建设第一责任人职责，层层传导责任，推动形成党委领导、政府负责、部门协同、社会参与的法治政府建设工作合力。</w:t>
      </w:r>
    </w:p>
    <w:p w14:paraId="58AEF6D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二是规范权力运行，健全科学高效的依法行政体系。</w:t>
      </w:r>
      <w:r>
        <w:rPr>
          <w:rFonts w:ascii="Times New Roman" w:hAnsi="Times New Roman" w:eastAsia="仿宋_GB2312" w:cs="Times New Roman"/>
          <w:sz w:val="32"/>
          <w:szCs w:val="32"/>
        </w:rPr>
        <w:t>持续加强行政规范性文件全周期管理，严格落实重大行政决策程序，深化行政事项协同复审机制，并将该机制向镇村延伸，实现行政决策和行政行为全流程法治化。严格规范行政执法行为，持续推进执法队伍专业化建设，常态化开展业务培训和技能竞赛，严格执法人员资格管理，进一步规范自由裁量权行使。健全行政争议协同化解机制，深化“府院联动”“府政协同”，推动行政争议实质化解。</w:t>
      </w:r>
    </w:p>
    <w:p w14:paraId="117AC60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三是聚焦营商环境，打造法治赋能发展的标杆样板。</w:t>
      </w:r>
      <w:r>
        <w:rPr>
          <w:rFonts w:ascii="Times New Roman" w:hAnsi="Times New Roman" w:eastAsia="仿宋_GB2312" w:cs="Times New Roman"/>
          <w:sz w:val="32"/>
          <w:szCs w:val="32"/>
        </w:rPr>
        <w:t>持续深化“综合查一次”改革，扩大非现场监管覆盖面，推行分级分类精准监管，最大限度减少对企业正常生产经营的干扰。动态优化免罚、轻罚、减罚“三张清单”，推动柔性执法向新业态、新领域延伸；严格落实涉企执法经济影响评估制度，细化评估指引，坚决执行“先评估后处罚”，持续优化“三书同达”机制。升级“2110”企业诉求闭环应答机制，推动诉求办理从“办结”向“办好、办实”转变；升级工业超市服务平台，整合政策咨询、供需对接、法治服务等资源，为企业提供一站式、精准化服务；强化知识产权保护和合同履约保障，健全“企业点单、部门响应”的法治服务机制，稳定市场主体预期。</w:t>
      </w:r>
    </w:p>
    <w:p w14:paraId="4FAD08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四是夯实基层基础，构建全域协同的法治建设格局。</w:t>
      </w:r>
      <w:r>
        <w:rPr>
          <w:rFonts w:ascii="Times New Roman" w:hAnsi="Times New Roman" w:eastAsia="仿宋_GB2312" w:cs="Times New Roman"/>
          <w:sz w:val="32"/>
          <w:szCs w:val="32"/>
        </w:rPr>
        <w:t>实施基层法治能力提升工程，整合法律顾问、人民调解员、普法宣传员等力量下沉网格，针对性开展法治规范指导，补齐基层法治力量短板。放大“榆快援”法律援助品牌效应，拓展便民服务场景，优化城乡公共法律服务网络，推动法律服务资源向农村、基层倾斜。深入推进政务公开和信用建设，持续推动行政权力公开透明运行；全面落实“九五”普法规划，创新线上公益法律服务站等普法载体，营造全民尊法学法守法用法的浓厚氛围。</w:t>
      </w:r>
    </w:p>
    <w:p w14:paraId="44EA816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</w:pPr>
    </w:p>
    <w:p w14:paraId="2FA4B68D">
      <w:pPr>
        <w:shd w:val="clear" w:color="auto" w:fill="FFFFFF"/>
        <w:snapToGrid w:val="0"/>
        <w:spacing w:line="55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6ED19"/>
    <w:rsid w:val="7EFB182B"/>
    <w:rsid w:val="BB7800AB"/>
    <w:rsid w:val="EBFCD1A5"/>
    <w:rsid w:val="FDE90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11.3333333333333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2026-03-27T17:53:47Z</dcterms:created>
  <dc:creator>sfj</dc:creator>
  <cp:lastModifiedBy>sfj</cp:lastModifiedBy>
  <dcterms:modified xsi:type="dcterms:W3CDTF">2026-03-31T15:51:28Z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ABBD17DEDC3858D0007DCB69D372BDB9_43</vt:lpwstr>
  </property>
</Properties>
</file>