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val="0"/>
        <w:overflowPunct/>
        <w:topLinePunct w:val="0"/>
        <w:autoSpaceDE/>
        <w:autoSpaceDN/>
        <w:bidi w:val="0"/>
        <w:adjustRightInd/>
        <w:snapToGrid/>
        <w:spacing w:before="144" w:beforeLines="50" w:after="144" w:afterLines="50" w:line="560" w:lineRule="exact"/>
        <w:ind w:left="0" w:leftChars="0" w:right="0" w:firstLine="0" w:firstLineChars="0"/>
        <w:jc w:val="center"/>
        <w:textAlignment w:val="baseline"/>
        <w:rPr>
          <w:rFonts w:hint="eastAsia" w:ascii="方正小标宋_GBK" w:hAnsi="方正小标宋_GBK" w:eastAsia="方正小标宋_GBK" w:cs="方正小标宋_GBK"/>
          <w:color w:val="000000"/>
          <w:kern w:val="0"/>
          <w:sz w:val="44"/>
          <w:szCs w:val="44"/>
        </w:rPr>
      </w:pPr>
      <w:bookmarkStart w:id="0" w:name="_GoBack"/>
      <w:bookmarkEnd w:id="0"/>
      <w:r>
        <w:rPr>
          <w:rFonts w:hint="eastAsia" w:ascii="方正小标宋_GBK" w:hAnsi="方正小标宋_GBK" w:eastAsia="方正小标宋_GBK" w:cs="方正小标宋_GBK"/>
          <w:color w:val="000000"/>
          <w:kern w:val="0"/>
          <w:sz w:val="44"/>
          <w:szCs w:val="44"/>
        </w:rPr>
        <w:t>黑林镇重大事故隐患专项排查整治行动</w:t>
      </w:r>
    </w:p>
    <w:p>
      <w:pPr>
        <w:pStyle w:val="8"/>
        <w:keepNext w:val="0"/>
        <w:keepLines w:val="0"/>
        <w:pageBreakBefore w:val="0"/>
        <w:widowControl w:val="0"/>
        <w:kinsoku/>
        <w:wordWrap w:val="0"/>
        <w:overflowPunct/>
        <w:topLinePunct w:val="0"/>
        <w:autoSpaceDE/>
        <w:autoSpaceDN/>
        <w:bidi w:val="0"/>
        <w:adjustRightInd/>
        <w:snapToGrid/>
        <w:spacing w:before="144" w:beforeLines="50" w:after="144" w:afterLines="50" w:line="560" w:lineRule="exact"/>
        <w:ind w:left="0" w:leftChars="0" w:right="0" w:firstLine="0" w:firstLine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实施方案</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根据区安委会重大事故隐患专项排查整治行动工作部署，经</w:t>
      </w:r>
      <w:r>
        <w:rPr>
          <w:rFonts w:hint="eastAsia" w:ascii="仿宋_GB2312" w:hAnsi="仿宋_GB2312" w:eastAsia="仿宋_GB2312" w:cs="仿宋_GB2312"/>
          <w:color w:val="000000"/>
          <w:kern w:val="0"/>
          <w:sz w:val="32"/>
          <w:szCs w:val="32"/>
          <w:lang w:val="en-US" w:eastAsia="zh-CN"/>
        </w:rPr>
        <w:t>镇</w:t>
      </w:r>
      <w:r>
        <w:rPr>
          <w:rFonts w:hint="eastAsia" w:ascii="仿宋_GB2312" w:hAnsi="仿宋_GB2312" w:eastAsia="仿宋_GB2312" w:cs="仿宋_GB2312"/>
          <w:color w:val="000000"/>
          <w:kern w:val="0"/>
          <w:sz w:val="32"/>
          <w:szCs w:val="32"/>
        </w:rPr>
        <w:t>党委政府研究，自即日起在全镇开展重大事故隐患专项排查整治行动(以下简称专项行动),坚决防范遏制重特大事故发生，以高水平安全保障高质量发展。具体实施方案如下：</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一、总体要求</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严格落实安全生产十五条硬措施，全面压实企业主体责任、部门监管责任和党委政府领导责任，认真排查和整改重大事故隐患，着力从根本上消除事故隐患、从根本上解决问题，坚决防范遏制重特大事故，推动安全生产治理模式向事前预防转型，更好统筹发展和安全，以高水平安全保障高质量发展。</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二、主要内容</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3" w:firstLineChars="200"/>
        <w:jc w:val="both"/>
        <w:textAlignment w:val="baseline"/>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(一)严格企业主要负责人第一责任，带动全员安全生产岗位责任落实，提升企业隐患排查整改质量。</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1.企业主要负责人要严格落实安全生产第一责任人责任，制定本行业领域重点检查事项。每季度带队对本单位重大事故隐患排查整治、重大风险管控措施 落实情况至少开展1次检查(高危行业领域企业每月至少1次 )</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根据需要聘请行业领域安全生产专家开展技术指导。</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2.建立企业重大事故隐患台账清单，明确责任人、措施、资金、期限和应急预案，实行闭环管理。</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严格履行电气焊等动火作业审批手续，督促作业人员严格遵守消防安全操作规程，明确现场监护人员，严格落实消防安全措施检查和作业过程监督；对电气焊设备进行全面安全检查，严禁带病作业、使用淘汰或危及安全的电气焊设备。全面排查1次动火等危险作业人员以及易产生重大事故隐患的其他关键岗位人员落实岗位责任情况，严禁聘用或招请未经安全培训合格、未取得相关证书的人员在特种作业岗位上岗作业，明确“谁招请无证人员，谁负责任”的管理制度。</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企业全面排查1次生产经营项目和场所外包外租(包括委托、合作等类似方式)情况，重点检查是否存在承包承租方不具备安全生产条件或者相应资质，以及双方未签订安全生产协议、管理职责不清、未按规定进行安全技术交底等问题；将外包外租等生产经营活动纳入本单位安全生产管理体系，统一协调管理，定期进行安全检查，发现问题并督促整改。</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5.建立并落实全员安全生产岗位责任制，明确企业主要负责人、其他负责人、职能部门负责人、生产车间(区队) 负责人、生产班组负责人、岗位从业人员等全体从业人员(包括劳务派遣人员、实习生等) 的安全生产岗位责任，组织制定企业各分管负责人安全生产职责清单和本次专项行动工作清单。配备专兼职安全员，“九小场所”、工地集宿区、人员密集场所配备专兼职消防安全员，加强培训并统一佩戴明显标识。</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6.建立并有效执行风险分级管控、事故隐患排查治理、应急救援、危险作业管理、发包( 出租) 管理等安全生产制度；对风险程度高的重大危险源、重要设施设备、重点生产经营场所，制定并落实专项管理制度；危大工程编制专项施工方案并根据需要组织专家论证。</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企业主要负责人要定期组织全员培训，使全体员工掌握隐患排查相关技能。组织对日常安全教育培训情况进行自查，重点检查是否存在未规范制定落实安全教育培训计划，全员教育培训虚化弱化；培训内容针对性、适用性不强，教育培训质量不高；培训范围未全员覆盖，一线员工安全意识和安全素质不高；过度依赖第三方机构，安全培训搞形式、走过场，甚至弄虚作假；未如实记录安全生产教育和培训情况等问题，补足安全教育培训短板弱项。</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企业主要负责人要根据本行业领域事故特点，至少组织开展1次事故应急救援预案和逃生演练(高危行业领域企业每半年至少组织1次)；全体从业人员熟知安全逃生出口(或避灾路线)，提升应急避险意识。深刻吸取近期违规动火引发的重特大事故等教训，组织开展1次全员安全警示教育；针对省内外发生的典型事故教训，迅速组织排查整治本企业同类事故隐患。</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3" w:firstLineChars="200"/>
        <w:jc w:val="both"/>
        <w:textAlignment w:val="baseline"/>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 强化部门安全责任，狠抓监督检查和精准执法，提升发现问题和解决问题的强烈意愿和能力水平</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镇</w:t>
      </w:r>
      <w:r>
        <w:rPr>
          <w:rFonts w:hint="eastAsia" w:ascii="仿宋_GB2312" w:hAnsi="仿宋_GB2312" w:eastAsia="仿宋_GB2312" w:cs="仿宋_GB2312"/>
          <w:color w:val="000000"/>
          <w:kern w:val="0"/>
          <w:sz w:val="32"/>
          <w:szCs w:val="32"/>
        </w:rPr>
        <w:t>安委会各成员单位要在重点行业领域安全生产风险专项整治巩固提升年行动、安全生产突出风险隐患排查治理行动、宾馆旅店风险隐患百日攻坚行动、安全生产集中整治月行动等工作中明确的重点整治内容基础上，对标对表本行业领域重大事故隐患现有判定标准，按照“重点突出、简洁管用”的要求，进一步明确细化、补充完善重点整治和检查事项。</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各专</w:t>
      </w:r>
      <w:r>
        <w:rPr>
          <w:rFonts w:hint="eastAsia" w:ascii="仿宋_GB2312" w:hAnsi="仿宋_GB2312" w:eastAsia="仿宋_GB2312" w:cs="仿宋_GB2312"/>
          <w:color w:val="000000"/>
          <w:kern w:val="0"/>
          <w:sz w:val="32"/>
          <w:szCs w:val="32"/>
        </w:rPr>
        <w:t>委会主任要带头到企业开展重大事故隐患判定标准等宣传解读，要通过多渠道广泛开展解读，将排查整治重点和安全检查要求宣传到行业内企业单位，指导督促企业明白“查什么、怎么查”，确保对重大事故隐患“会 自查、会整改”。</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镇</w:t>
      </w:r>
      <w:r>
        <w:rPr>
          <w:rFonts w:hint="eastAsia" w:ascii="仿宋_GB2312" w:hAnsi="仿宋_GB2312" w:eastAsia="仿宋_GB2312" w:cs="仿宋_GB2312"/>
          <w:color w:val="000000"/>
          <w:kern w:val="0"/>
          <w:sz w:val="32"/>
          <w:szCs w:val="32"/>
        </w:rPr>
        <w:t>安委会各成员单位要集中开展监管执法人员专题培训，引导监管执法人员明责知责、履责尽责，提高发现问题和解决问题的强烈意愿；重点学习重大事故隐患判定标准、重点执法检查事项及相关法律法规标准等，深入基层调查研究，提升发现问题和解决问题的能力水平。</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突出农村道路、建筑施工、工贸、消防、燃气、文旅、特种设备等重点行业领域，兼顾新业态、新领域，对发现的重大事故隐患紧盯不放，督促企业闭环整改到位，严禁以罚代管、罚而不管。建立安全监管执法责任倒查机制，严格实行“谁检查、谁签名、谁负责”，对明明有问题却查不出或查出后跟踪整改不到位导致发生事故的，严肃追责问责，构成犯罪的移送司法机关追究刑事责任，坚决整治监管执法“宽松软虚”。</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实施分级分类监管执法，对企业自查出的重大事故隐患，已按规定报告并正在采取有效措施消除的，依法不予行政处罚；对排查整治不力导致重大事故隐患依然存在或发生事故的，依法对企业和企业主要负责人实行“一案双罚”；对重大事故隐患长期存在并多次受到处罚的，依法提请人民政府予以关闭并落实企业主要负责人行业禁入规定；对无证动火等安全生产严重违法违规行为，加大行刑衔接力度。开展联合执法检查、联合信用监管，实施信息通报共享和部门协调联动，对排查发现的屡查屡犯的企业负责人和重点企业实施精准有效监管。</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6.组织专家对重点企业帮扶指导，主动服务企业对电焊等特种作业人员的排查整治工作，及时提供特种作业人员培训和考核发证服务。加大重大事故隐患通报曝光警示力度。</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3" w:firstLineChars="200"/>
        <w:jc w:val="both"/>
        <w:textAlignment w:val="baseline"/>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(三)压实领导责任，统筹好发展和安全，提升安全生产工作水平</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1.组织开展安全生产十五条硬措施的专题学习，推动在规划编制、项目准入等初始环节把好安全关，研究实施源头治理、依法治理、工程治理、科技强安等治本之策，提高本质安全水平。</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2.定期听取安全生产情况和专项行动进展情况汇报，研究解决重大问题，推动专项行动落实；各专委会按照 职责分工，定期开展现场督导检查。</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3.组织开展6月份“安全生产月”活动，通过微信、公众号等宣传专项行动中典型经验做法，加大重大事故隐患曝光力度。 进一步健全安全生产举报奖励体系，推行安全生产“吹哨人”制度，鼓励全社会匿名举报，对查实情况进行重奖。</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推动基层安全监管机构队伍建设，大力配备专兼职技术检查员，提升重大事故隐患查处能力。推动企业按规定比例提取安全生产费用，保障重大事故隐患排查整改，加大治理资金支持力度；完善政府购买服务、聘请专家等加强企业指导帮扶工作机制。</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推动建立重大事故隐患数据库，强化重大事故隐患挂牌督办，定期通报整治开展情况。将专项行动开展情况作为年度安全生产考核的重要内容；对存在安全检查走形式走过场、监管执法“宽松软虚”、对风险隐患视而不见、见而不查、查而不改、问题突出的进行约谈。</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6.严格安全生产责任追究，对发生的每一起生产安全亡人事故，都要对照一系列安全生产制度措施和专项行动部署要求，倒查落实情况，作为认定事故相关责任单位及责任人员履行责任 的重要依据，严肃追究责任。严格执行“谁检查、谁签名、谁负责”，对排查整治不力的按规定予以问责处理。</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三、阶段安排</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专项行动时间自即日起至年底，分四个阶段推进。</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3"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一</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动员部署阶段 (5月底前)。</w:t>
      </w:r>
      <w:r>
        <w:rPr>
          <w:rFonts w:hint="eastAsia" w:ascii="仿宋_GB2312" w:hAnsi="仿宋_GB2312" w:eastAsia="仿宋_GB2312" w:cs="仿宋_GB2312"/>
          <w:color w:val="000000"/>
          <w:kern w:val="0"/>
          <w:sz w:val="32"/>
          <w:szCs w:val="32"/>
        </w:rPr>
        <w:t>制定印发专项行动实施方案，召开会议进行专题动员部署。</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3"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二</w:t>
      </w:r>
      <w:r>
        <w:rPr>
          <w:rFonts w:hint="eastAsia" w:ascii="楷体_GB2312" w:hAnsi="楷体_GB2312" w:eastAsia="楷体_GB2312" w:cs="楷体_GB2312"/>
          <w:b/>
          <w:bCs/>
          <w:color w:val="000000"/>
          <w:kern w:val="0"/>
          <w:sz w:val="32"/>
          <w:szCs w:val="32"/>
          <w:lang w:eastAsia="zh-CN"/>
        </w:rPr>
        <w:t>）自查自改和集中治理阶段 (6月上旬至10月上旬)。</w:t>
      </w:r>
      <w:r>
        <w:rPr>
          <w:rFonts w:hint="eastAsia" w:ascii="仿宋_GB2312" w:hAnsi="仿宋_GB2312" w:eastAsia="仿宋_GB2312" w:cs="仿宋_GB2312"/>
          <w:color w:val="000000"/>
          <w:kern w:val="0"/>
          <w:sz w:val="32"/>
          <w:szCs w:val="32"/>
        </w:rPr>
        <w:t>企业对照重大事故隐患判定标准和重点整治事项，全面开展自查自改，建立重大事故隐患台账。各专委会职组织开展重大事故隐患集中治理，聚焦重大事故隐患、重点检查事项和第一责任人履职情况，深入一线开展精准检查，推动企业对重大事故隐患真查真改、主动报告、闭环整改。结合汛期高温等季节特点，及时完善排查整治内容，组织开展专项督查。</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3"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三</w:t>
      </w:r>
      <w:r>
        <w:rPr>
          <w:rFonts w:hint="eastAsia" w:ascii="楷体_GB2312" w:hAnsi="楷体_GB2312" w:eastAsia="楷体_GB2312" w:cs="楷体_GB2312"/>
          <w:b/>
          <w:bCs/>
          <w:color w:val="000000"/>
          <w:kern w:val="0"/>
          <w:sz w:val="32"/>
          <w:szCs w:val="32"/>
          <w:lang w:eastAsia="zh-CN"/>
        </w:rPr>
        <w:t>）排查整治“回头看”阶段 (10月中旬至11月底 )。</w:t>
      </w:r>
      <w:r>
        <w:rPr>
          <w:rFonts w:hint="eastAsia" w:ascii="仿宋_GB2312" w:hAnsi="仿宋_GB2312" w:eastAsia="仿宋_GB2312" w:cs="仿宋_GB2312"/>
          <w:color w:val="000000"/>
          <w:kern w:val="0"/>
          <w:sz w:val="32"/>
          <w:szCs w:val="32"/>
        </w:rPr>
        <w:t>组织对企业自查自改和集中治理行动中发现的重大事故隐患整改情况进行“回头看”，对重点难点问题紧盯不放、督促整改到底；对行动开展不力、重大隐患整改不到位、问题突出的重点领域开展专项巡查督导。</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3"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四</w:t>
      </w:r>
      <w:r>
        <w:rPr>
          <w:rFonts w:hint="eastAsia" w:ascii="楷体_GB2312" w:hAnsi="楷体_GB2312" w:eastAsia="楷体_GB2312" w:cs="楷体_GB2312"/>
          <w:b/>
          <w:bCs/>
          <w:color w:val="000000"/>
          <w:kern w:val="0"/>
          <w:sz w:val="32"/>
          <w:szCs w:val="32"/>
          <w:lang w:eastAsia="zh-CN"/>
        </w:rPr>
        <w:t>）巩固提升阶段 (12月 )。</w:t>
      </w:r>
      <w:r>
        <w:rPr>
          <w:rFonts w:hint="eastAsia" w:ascii="仿宋_GB2312" w:hAnsi="仿宋_GB2312" w:eastAsia="仿宋_GB2312" w:cs="仿宋_GB2312"/>
          <w:color w:val="000000"/>
          <w:kern w:val="0"/>
          <w:sz w:val="32"/>
          <w:szCs w:val="32"/>
        </w:rPr>
        <w:t>全面总结专项行动隐患整改 情况、取得实际成效，系统梳理好经验、好做法，组织相互学习借鉴，不断完善安全生产制度措施，推动建立健全长效机制。</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四、工作要求</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3"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一</w:t>
      </w:r>
      <w:r>
        <w:rPr>
          <w:rFonts w:hint="eastAsia" w:ascii="楷体_GB2312" w:hAnsi="楷体_GB2312" w:eastAsia="楷体_GB2312" w:cs="楷体_GB2312"/>
          <w:b/>
          <w:bCs/>
          <w:color w:val="000000"/>
          <w:kern w:val="0"/>
          <w:sz w:val="32"/>
          <w:szCs w:val="32"/>
          <w:lang w:eastAsia="zh-CN"/>
        </w:rPr>
        <w:t>）加强组织领导。</w:t>
      </w:r>
      <w:r>
        <w:rPr>
          <w:rFonts w:hint="eastAsia" w:ascii="仿宋_GB2312" w:hAnsi="仿宋_GB2312" w:eastAsia="仿宋_GB2312" w:cs="仿宋_GB2312"/>
          <w:color w:val="000000"/>
          <w:kern w:val="0"/>
          <w:sz w:val="32"/>
          <w:szCs w:val="32"/>
        </w:rPr>
        <w:t>严格落实“党政同责、一岗双责、齐抓共管、失职追责”和“三管三必须”，形成专项行动工作合力。各专委会要及时梳理上报新业态新领域等安全职责不清事项，提请镇政府进一步明确各行业领域专项行动的责任分工，阻塞监管盲区漏洞。</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 加强统筹调度。镇安委会办公室要加强统筹协调，建立调度通报、督办交办、警示约谈等工作机制，定期调度掌握各专委会专项排查整治进展情况，全面摸清并动态掌握重大事故隐患底数，及时协调解决存在的突出问题。</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请各专委会于8月10日、12月10日前报送专项行动阶段情况和总体开展情况；自本月开始，每月27日前 送调度数据 (调度表附后)。</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联</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系</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val="en-US" w:eastAsia="zh-CN"/>
        </w:rPr>
        <w:t xml:space="preserve">徐大青   </w:t>
      </w:r>
      <w:r>
        <w:rPr>
          <w:rFonts w:hint="eastAsia" w:ascii="仿宋_GB2312" w:hAnsi="仿宋_GB2312" w:eastAsia="仿宋_GB2312" w:cs="仿宋_GB2312"/>
          <w:color w:val="000000"/>
          <w:kern w:val="0"/>
          <w:sz w:val="32"/>
          <w:szCs w:val="32"/>
        </w:rPr>
        <w:t>联系电话</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 xml:space="preserve">13961303921  </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箱：hlzajsxdq@163.com。 </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lang w:val="en-US" w:eastAsia="zh-CN"/>
        </w:rPr>
      </w:pP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附件：黑林镇重大事故隐患专项排查整治行动调度表</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0" w:firstLineChars="0"/>
        <w:jc w:val="both"/>
        <w:textAlignment w:val="baseline"/>
        <w:rPr>
          <w:rFonts w:hint="eastAsia" w:ascii="黑体" w:hAnsi="黑体" w:eastAsia="黑体" w:cs="黑体"/>
          <w:color w:val="000000"/>
          <w:kern w:val="0"/>
          <w:sz w:val="32"/>
          <w:szCs w:val="32"/>
          <w:lang w:val="en-US" w:eastAsia="zh-CN"/>
        </w:rPr>
        <w:sectPr>
          <w:headerReference r:id="rId3" w:type="default"/>
          <w:footerReference r:id="rId4" w:type="default"/>
          <w:pgSz w:w="11910" w:h="16840"/>
          <w:pgMar w:top="1417" w:right="1531" w:bottom="1417" w:left="1531" w:header="720" w:footer="624" w:gutter="0"/>
          <w:cols w:space="0" w:num="1"/>
          <w:rtlGutter w:val="0"/>
          <w:docGrid w:linePitch="286" w:charSpace="0"/>
        </w:sectPr>
      </w:pP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0" w:firstLineChars="0"/>
        <w:jc w:val="both"/>
        <w:textAlignment w:val="baseline"/>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w:t>
      </w:r>
    </w:p>
    <w:p>
      <w:pPr>
        <w:pStyle w:val="8"/>
        <w:keepNext w:val="0"/>
        <w:keepLines w:val="0"/>
        <w:pageBreakBefore w:val="0"/>
        <w:widowControl w:val="0"/>
        <w:kinsoku/>
        <w:wordWrap w:val="0"/>
        <w:overflowPunct/>
        <w:topLinePunct w:val="0"/>
        <w:autoSpaceDE/>
        <w:autoSpaceDN/>
        <w:bidi w:val="0"/>
        <w:adjustRightInd/>
        <w:snapToGrid/>
        <w:spacing w:before="144" w:beforeLines="50" w:after="144" w:afterLines="50" w:line="600" w:lineRule="exact"/>
        <w:ind w:left="0" w:leftChars="0" w:right="0" w:firstLine="0" w:firstLineChars="0"/>
        <w:jc w:val="center"/>
        <w:textAlignment w:val="baseline"/>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黑林镇重大事故隐患专项排查整治行动调度表</w:t>
      </w:r>
    </w:p>
    <w:p>
      <w:pPr>
        <w:pStyle w:val="8"/>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0" w:firstLineChars="0"/>
        <w:jc w:val="center"/>
        <w:textAlignment w:val="baseline"/>
        <w:rPr>
          <w:rFonts w:hint="eastAsia" w:ascii="仿宋_GB2312" w:hAnsi="仿宋_GB2312" w:eastAsia="仿宋_GB2312" w:cs="仿宋_GB2312"/>
          <w:color w:val="000000"/>
          <w:kern w:val="0"/>
          <w:sz w:val="32"/>
          <w:szCs w:val="32"/>
          <w:lang w:val="en-US" w:eastAsia="zh-CN"/>
        </w:rPr>
      </w:pPr>
      <w:r>
        <w:rPr>
          <w:rFonts w:hint="eastAsia" w:ascii="方正小标宋_GBK" w:hAnsi="方正小标宋_GBK" w:eastAsia="方正小标宋_GBK" w:cs="方正小标宋_GBK"/>
          <w:color w:val="000000"/>
          <w:kern w:val="0"/>
          <w:sz w:val="44"/>
          <w:szCs w:val="44"/>
          <w:lang w:val="en-US" w:eastAsia="zh-CN"/>
        </w:rPr>
        <w:tab/>
      </w:r>
      <w:r>
        <w:rPr>
          <w:rFonts w:hint="eastAsia" w:ascii="仿宋_GB2312" w:hAnsi="仿宋_GB2312" w:eastAsia="仿宋_GB2312" w:cs="仿宋_GB2312"/>
          <w:color w:val="000000"/>
          <w:kern w:val="0"/>
          <w:sz w:val="32"/>
          <w:szCs w:val="32"/>
          <w:lang w:val="en-US" w:eastAsia="zh-CN"/>
        </w:rPr>
        <w:t>填报单位：                     时间：2023 年  月   日</w:t>
      </w:r>
    </w:p>
    <w:tbl>
      <w:tblPr>
        <w:tblStyle w:val="10"/>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423"/>
        <w:gridCol w:w="2737"/>
        <w:gridCol w:w="564"/>
        <w:gridCol w:w="552"/>
        <w:gridCol w:w="3083"/>
        <w:gridCol w:w="5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09" w:type="dxa"/>
            <w:vMerge w:val="restart"/>
            <w:tcBorders>
              <w:left w:val="single" w:color="000000" w:sz="6" w:space="0"/>
              <w:bottom w:val="nil"/>
            </w:tcBorders>
            <w:vAlign w:val="top"/>
          </w:tcPr>
          <w:p>
            <w:pPr>
              <w:spacing w:line="291" w:lineRule="auto"/>
              <w:rPr>
                <w:rFonts w:ascii="Arial"/>
                <w:sz w:val="21"/>
              </w:rPr>
            </w:pPr>
          </w:p>
          <w:p>
            <w:pPr>
              <w:spacing w:line="292" w:lineRule="auto"/>
              <w:rPr>
                <w:rFonts w:ascii="Arial"/>
                <w:sz w:val="21"/>
              </w:rPr>
            </w:pPr>
          </w:p>
          <w:p>
            <w:pPr>
              <w:spacing w:before="80" w:line="224" w:lineRule="auto"/>
              <w:ind w:left="339"/>
              <w:rPr>
                <w:rFonts w:ascii="方正黑体_GBK" w:hAnsi="方正黑体_GBK" w:eastAsia="方正黑体_GBK" w:cs="方正黑体_GBK"/>
                <w:sz w:val="22"/>
                <w:szCs w:val="22"/>
              </w:rPr>
            </w:pPr>
            <w:r>
              <w:rPr>
                <w:rFonts w:ascii="方正黑体_GBK" w:hAnsi="方正黑体_GBK" w:eastAsia="方正黑体_GBK" w:cs="方正黑体_GBK"/>
                <w:spacing w:val="-8"/>
                <w:sz w:val="22"/>
                <w:szCs w:val="22"/>
              </w:rPr>
              <w:t>总</w:t>
            </w:r>
            <w:r>
              <w:rPr>
                <w:rFonts w:ascii="方正黑体_GBK" w:hAnsi="方正黑体_GBK" w:eastAsia="方正黑体_GBK" w:cs="方正黑体_GBK"/>
                <w:spacing w:val="-7"/>
                <w:sz w:val="22"/>
                <w:szCs w:val="22"/>
              </w:rPr>
              <w:t>体</w:t>
            </w:r>
          </w:p>
          <w:p>
            <w:pPr>
              <w:spacing w:before="1" w:line="232" w:lineRule="auto"/>
              <w:ind w:left="33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情</w:t>
            </w:r>
            <w:r>
              <w:rPr>
                <w:rFonts w:ascii="方正黑体_GBK" w:hAnsi="方正黑体_GBK" w:eastAsia="方正黑体_GBK" w:cs="方正黑体_GBK"/>
                <w:spacing w:val="-2"/>
                <w:sz w:val="22"/>
                <w:szCs w:val="22"/>
              </w:rPr>
              <w:t>况</w:t>
            </w:r>
          </w:p>
        </w:tc>
        <w:tc>
          <w:tcPr>
            <w:tcW w:w="423" w:type="dxa"/>
            <w:vAlign w:val="top"/>
          </w:tcPr>
          <w:p>
            <w:pPr>
              <w:spacing w:before="254" w:line="195" w:lineRule="auto"/>
              <w:ind w:left="17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737" w:type="dxa"/>
            <w:vAlign w:val="top"/>
          </w:tcPr>
          <w:p>
            <w:pPr>
              <w:spacing w:before="127" w:line="233" w:lineRule="auto"/>
              <w:ind w:left="115" w:right="292" w:hanging="6"/>
              <w:rPr>
                <w:rFonts w:ascii="宋体" w:hAnsi="宋体" w:eastAsia="宋体" w:cs="宋体"/>
                <w:sz w:val="17"/>
                <w:szCs w:val="17"/>
              </w:rPr>
            </w:pPr>
            <w:r>
              <w:rPr>
                <w:rFonts w:ascii="宋体" w:hAnsi="宋体" w:eastAsia="宋体" w:cs="宋体"/>
                <w:spacing w:val="12"/>
                <w:sz w:val="17"/>
                <w:szCs w:val="17"/>
              </w:rPr>
              <w:t>企</w:t>
            </w:r>
            <w:r>
              <w:rPr>
                <w:rFonts w:ascii="宋体" w:hAnsi="宋体" w:eastAsia="宋体" w:cs="宋体"/>
                <w:spacing w:val="9"/>
                <w:sz w:val="17"/>
                <w:szCs w:val="17"/>
              </w:rPr>
              <w:t>业自查发现的重大事故隐患</w:t>
            </w:r>
            <w:r>
              <w:rPr>
                <w:rFonts w:ascii="宋体" w:hAnsi="宋体" w:eastAsia="宋体" w:cs="宋体"/>
                <w:sz w:val="17"/>
                <w:szCs w:val="17"/>
              </w:rPr>
              <w:t xml:space="preserve"> </w:t>
            </w:r>
            <w:r>
              <w:rPr>
                <w:rFonts w:ascii="宋体" w:hAnsi="宋体" w:eastAsia="宋体" w:cs="宋体"/>
                <w:spacing w:val="30"/>
                <w:sz w:val="17"/>
                <w:szCs w:val="17"/>
              </w:rPr>
              <w:t>(</w:t>
            </w:r>
            <w:r>
              <w:rPr>
                <w:rFonts w:ascii="宋体" w:hAnsi="宋体" w:eastAsia="宋体" w:cs="宋体"/>
                <w:spacing w:val="29"/>
                <w:sz w:val="17"/>
                <w:szCs w:val="17"/>
              </w:rPr>
              <w:t>个)</w:t>
            </w:r>
          </w:p>
        </w:tc>
        <w:tc>
          <w:tcPr>
            <w:tcW w:w="564" w:type="dxa"/>
            <w:vAlign w:val="top"/>
          </w:tcPr>
          <w:p>
            <w:pPr>
              <w:rPr>
                <w:rFonts w:ascii="Arial"/>
                <w:sz w:val="21"/>
              </w:rPr>
            </w:pPr>
          </w:p>
        </w:tc>
        <w:tc>
          <w:tcPr>
            <w:tcW w:w="552" w:type="dxa"/>
            <w:vAlign w:val="top"/>
          </w:tcPr>
          <w:p>
            <w:pPr>
              <w:spacing w:before="254" w:line="195" w:lineRule="auto"/>
              <w:ind w:left="231"/>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083" w:type="dxa"/>
            <w:vAlign w:val="top"/>
          </w:tcPr>
          <w:p>
            <w:pPr>
              <w:spacing w:before="127" w:line="233" w:lineRule="auto"/>
              <w:ind w:left="116" w:right="269" w:firstLine="1"/>
              <w:rPr>
                <w:rFonts w:ascii="宋体" w:hAnsi="宋体" w:eastAsia="宋体" w:cs="宋体"/>
                <w:sz w:val="17"/>
                <w:szCs w:val="17"/>
              </w:rPr>
            </w:pPr>
            <w:r>
              <w:rPr>
                <w:rFonts w:ascii="宋体" w:hAnsi="宋体" w:eastAsia="宋体" w:cs="宋体"/>
                <w:spacing w:val="14"/>
                <w:sz w:val="17"/>
                <w:szCs w:val="17"/>
              </w:rPr>
              <w:t>企</w:t>
            </w:r>
            <w:r>
              <w:rPr>
                <w:rFonts w:ascii="宋体" w:hAnsi="宋体" w:eastAsia="宋体" w:cs="宋体"/>
                <w:spacing w:val="9"/>
                <w:sz w:val="17"/>
                <w:szCs w:val="17"/>
              </w:rPr>
              <w:t>业自查发现重大事故隐患中已完</w:t>
            </w:r>
            <w:r>
              <w:rPr>
                <w:rFonts w:ascii="宋体" w:hAnsi="宋体" w:eastAsia="宋体" w:cs="宋体"/>
                <w:sz w:val="17"/>
                <w:szCs w:val="17"/>
              </w:rPr>
              <w:t xml:space="preserve"> </w:t>
            </w:r>
            <w:r>
              <w:rPr>
                <w:rFonts w:ascii="宋体" w:hAnsi="宋体" w:eastAsia="宋体" w:cs="宋体"/>
                <w:spacing w:val="9"/>
                <w:sz w:val="17"/>
                <w:szCs w:val="17"/>
              </w:rPr>
              <w:t>成</w:t>
            </w:r>
            <w:r>
              <w:rPr>
                <w:rFonts w:ascii="宋体" w:hAnsi="宋体" w:eastAsia="宋体" w:cs="宋体"/>
                <w:spacing w:val="6"/>
                <w:sz w:val="17"/>
                <w:szCs w:val="17"/>
              </w:rPr>
              <w:t>整改的 (个)</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109" w:type="dxa"/>
            <w:vMerge w:val="continue"/>
            <w:tcBorders>
              <w:top w:val="nil"/>
              <w:left w:val="single" w:color="000000" w:sz="6" w:space="0"/>
              <w:bottom w:val="nil"/>
            </w:tcBorders>
            <w:vAlign w:val="top"/>
          </w:tcPr>
          <w:p>
            <w:pPr>
              <w:rPr>
                <w:rFonts w:ascii="Arial"/>
                <w:sz w:val="21"/>
              </w:rPr>
            </w:pPr>
          </w:p>
        </w:tc>
        <w:tc>
          <w:tcPr>
            <w:tcW w:w="423" w:type="dxa"/>
            <w:vAlign w:val="top"/>
          </w:tcPr>
          <w:p>
            <w:pPr>
              <w:spacing w:before="250" w:line="195" w:lineRule="auto"/>
              <w:ind w:left="165"/>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2737" w:type="dxa"/>
            <w:vAlign w:val="top"/>
          </w:tcPr>
          <w:p>
            <w:pPr>
              <w:spacing w:before="123" w:line="233" w:lineRule="auto"/>
              <w:ind w:left="115" w:right="292" w:hanging="7"/>
              <w:rPr>
                <w:rFonts w:ascii="宋体" w:hAnsi="宋体" w:eastAsia="宋体" w:cs="宋体"/>
                <w:sz w:val="17"/>
                <w:szCs w:val="17"/>
              </w:rPr>
            </w:pPr>
            <w:r>
              <w:rPr>
                <w:rFonts w:ascii="宋体" w:hAnsi="宋体" w:eastAsia="宋体" w:cs="宋体"/>
                <w:spacing w:val="12"/>
                <w:sz w:val="17"/>
                <w:szCs w:val="17"/>
              </w:rPr>
              <w:t>部</w:t>
            </w:r>
            <w:r>
              <w:rPr>
                <w:rFonts w:ascii="宋体" w:hAnsi="宋体" w:eastAsia="宋体" w:cs="宋体"/>
                <w:spacing w:val="9"/>
                <w:sz w:val="17"/>
                <w:szCs w:val="17"/>
              </w:rPr>
              <w:t>门检查发现的重大事故隐患</w:t>
            </w:r>
            <w:r>
              <w:rPr>
                <w:rFonts w:ascii="宋体" w:hAnsi="宋体" w:eastAsia="宋体" w:cs="宋体"/>
                <w:sz w:val="17"/>
                <w:szCs w:val="17"/>
              </w:rPr>
              <w:t xml:space="preserve"> </w:t>
            </w:r>
            <w:r>
              <w:rPr>
                <w:rFonts w:ascii="宋体" w:hAnsi="宋体" w:eastAsia="宋体" w:cs="宋体"/>
                <w:spacing w:val="30"/>
                <w:sz w:val="17"/>
                <w:szCs w:val="17"/>
              </w:rPr>
              <w:t>(</w:t>
            </w:r>
            <w:r>
              <w:rPr>
                <w:rFonts w:ascii="宋体" w:hAnsi="宋体" w:eastAsia="宋体" w:cs="宋体"/>
                <w:spacing w:val="29"/>
                <w:sz w:val="17"/>
                <w:szCs w:val="17"/>
              </w:rPr>
              <w:t>个)</w:t>
            </w:r>
          </w:p>
        </w:tc>
        <w:tc>
          <w:tcPr>
            <w:tcW w:w="564" w:type="dxa"/>
            <w:vAlign w:val="top"/>
          </w:tcPr>
          <w:p>
            <w:pPr>
              <w:rPr>
                <w:rFonts w:ascii="Arial"/>
                <w:sz w:val="21"/>
              </w:rPr>
            </w:pPr>
          </w:p>
        </w:tc>
        <w:tc>
          <w:tcPr>
            <w:tcW w:w="552" w:type="dxa"/>
            <w:vAlign w:val="top"/>
          </w:tcPr>
          <w:p>
            <w:pPr>
              <w:spacing w:before="250" w:line="195" w:lineRule="auto"/>
              <w:ind w:left="231"/>
              <w:rPr>
                <w:rFonts w:ascii="Times New Roman" w:hAnsi="Times New Roman" w:eastAsia="Times New Roman" w:cs="Times New Roman"/>
                <w:sz w:val="19"/>
                <w:szCs w:val="19"/>
              </w:rPr>
            </w:pPr>
            <w:r>
              <w:rPr>
                <w:rFonts w:ascii="Times New Roman" w:hAnsi="Times New Roman" w:eastAsia="Times New Roman" w:cs="Times New Roman"/>
                <w:sz w:val="19"/>
                <w:szCs w:val="19"/>
              </w:rPr>
              <w:t>4</w:t>
            </w:r>
          </w:p>
        </w:tc>
        <w:tc>
          <w:tcPr>
            <w:tcW w:w="3083" w:type="dxa"/>
            <w:vAlign w:val="top"/>
          </w:tcPr>
          <w:p>
            <w:pPr>
              <w:spacing w:before="123" w:line="233" w:lineRule="auto"/>
              <w:ind w:left="116" w:right="269"/>
              <w:rPr>
                <w:rFonts w:ascii="宋体" w:hAnsi="宋体" w:eastAsia="宋体" w:cs="宋体"/>
                <w:sz w:val="17"/>
                <w:szCs w:val="17"/>
              </w:rPr>
            </w:pPr>
            <w:r>
              <w:rPr>
                <w:rFonts w:ascii="宋体" w:hAnsi="宋体" w:eastAsia="宋体" w:cs="宋体"/>
                <w:spacing w:val="14"/>
                <w:sz w:val="17"/>
                <w:szCs w:val="17"/>
              </w:rPr>
              <w:t>部</w:t>
            </w:r>
            <w:r>
              <w:rPr>
                <w:rFonts w:ascii="宋体" w:hAnsi="宋体" w:eastAsia="宋体" w:cs="宋体"/>
                <w:spacing w:val="9"/>
                <w:sz w:val="17"/>
                <w:szCs w:val="17"/>
              </w:rPr>
              <w:t>门检查发现重大事故隐患中已完</w:t>
            </w:r>
            <w:r>
              <w:rPr>
                <w:rFonts w:ascii="宋体" w:hAnsi="宋体" w:eastAsia="宋体" w:cs="宋体"/>
                <w:sz w:val="17"/>
                <w:szCs w:val="17"/>
              </w:rPr>
              <w:t xml:space="preserve"> </w:t>
            </w:r>
            <w:r>
              <w:rPr>
                <w:rFonts w:ascii="宋体" w:hAnsi="宋体" w:eastAsia="宋体" w:cs="宋体"/>
                <w:spacing w:val="9"/>
                <w:sz w:val="17"/>
                <w:szCs w:val="17"/>
              </w:rPr>
              <w:t>成</w:t>
            </w:r>
            <w:r>
              <w:rPr>
                <w:rFonts w:ascii="宋体" w:hAnsi="宋体" w:eastAsia="宋体" w:cs="宋体"/>
                <w:spacing w:val="6"/>
                <w:sz w:val="17"/>
                <w:szCs w:val="17"/>
              </w:rPr>
              <w:t>整改的 (个)</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09" w:type="dxa"/>
            <w:vMerge w:val="continue"/>
            <w:tcBorders>
              <w:top w:val="nil"/>
              <w:left w:val="single" w:color="000000" w:sz="6" w:space="0"/>
            </w:tcBorders>
            <w:vAlign w:val="top"/>
          </w:tcPr>
          <w:p>
            <w:pPr>
              <w:rPr>
                <w:rFonts w:ascii="Arial"/>
                <w:sz w:val="21"/>
              </w:rPr>
            </w:pPr>
          </w:p>
        </w:tc>
        <w:tc>
          <w:tcPr>
            <w:tcW w:w="423" w:type="dxa"/>
            <w:vAlign w:val="top"/>
          </w:tcPr>
          <w:p>
            <w:pPr>
              <w:spacing w:before="254" w:line="192" w:lineRule="auto"/>
              <w:ind w:left="166"/>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2737" w:type="dxa"/>
            <w:vAlign w:val="top"/>
          </w:tcPr>
          <w:p>
            <w:pPr>
              <w:spacing w:before="225" w:line="231" w:lineRule="auto"/>
              <w:ind w:left="107"/>
              <w:rPr>
                <w:rFonts w:ascii="宋体" w:hAnsi="宋体" w:eastAsia="宋体" w:cs="宋体"/>
                <w:sz w:val="17"/>
                <w:szCs w:val="17"/>
              </w:rPr>
            </w:pPr>
            <w:r>
              <w:rPr>
                <w:rFonts w:ascii="宋体" w:hAnsi="宋体" w:eastAsia="宋体" w:cs="宋体"/>
                <w:spacing w:val="10"/>
                <w:sz w:val="17"/>
                <w:szCs w:val="17"/>
              </w:rPr>
              <w:t>挂</w:t>
            </w:r>
            <w:r>
              <w:rPr>
                <w:rFonts w:ascii="宋体" w:hAnsi="宋体" w:eastAsia="宋体" w:cs="宋体"/>
                <w:spacing w:val="8"/>
                <w:sz w:val="17"/>
                <w:szCs w:val="17"/>
              </w:rPr>
              <w:t>牌督办的重大事故隐患 (个)</w:t>
            </w:r>
          </w:p>
        </w:tc>
        <w:tc>
          <w:tcPr>
            <w:tcW w:w="564" w:type="dxa"/>
            <w:vAlign w:val="top"/>
          </w:tcPr>
          <w:p>
            <w:pPr>
              <w:rPr>
                <w:rFonts w:ascii="Arial"/>
                <w:sz w:val="21"/>
              </w:rPr>
            </w:pPr>
          </w:p>
        </w:tc>
        <w:tc>
          <w:tcPr>
            <w:tcW w:w="552" w:type="dxa"/>
            <w:vAlign w:val="top"/>
          </w:tcPr>
          <w:p>
            <w:pPr>
              <w:spacing w:before="251" w:line="195" w:lineRule="auto"/>
              <w:ind w:left="235"/>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083" w:type="dxa"/>
            <w:vAlign w:val="top"/>
          </w:tcPr>
          <w:p>
            <w:pPr>
              <w:spacing w:before="124" w:line="233" w:lineRule="auto"/>
              <w:ind w:left="121" w:right="269" w:hanging="5"/>
              <w:rPr>
                <w:rFonts w:ascii="宋体" w:hAnsi="宋体" w:eastAsia="宋体" w:cs="宋体"/>
                <w:sz w:val="17"/>
                <w:szCs w:val="17"/>
              </w:rPr>
            </w:pPr>
            <w:r>
              <w:rPr>
                <w:rFonts w:ascii="宋体" w:hAnsi="宋体" w:eastAsia="宋体" w:cs="宋体"/>
                <w:spacing w:val="16"/>
                <w:sz w:val="17"/>
                <w:szCs w:val="17"/>
              </w:rPr>
              <w:t>挂</w:t>
            </w:r>
            <w:r>
              <w:rPr>
                <w:rFonts w:ascii="宋体" w:hAnsi="宋体" w:eastAsia="宋体" w:cs="宋体"/>
                <w:spacing w:val="9"/>
                <w:sz w:val="17"/>
                <w:szCs w:val="17"/>
              </w:rPr>
              <w:t>牌督办重大事故隐患中已完成整</w:t>
            </w:r>
            <w:r>
              <w:rPr>
                <w:rFonts w:ascii="宋体" w:hAnsi="宋体" w:eastAsia="宋体" w:cs="宋体"/>
                <w:sz w:val="17"/>
                <w:szCs w:val="17"/>
              </w:rPr>
              <w:t xml:space="preserve"> </w:t>
            </w:r>
            <w:r>
              <w:rPr>
                <w:rFonts w:ascii="宋体" w:hAnsi="宋体" w:eastAsia="宋体" w:cs="宋体"/>
                <w:spacing w:val="6"/>
                <w:sz w:val="17"/>
                <w:szCs w:val="17"/>
              </w:rPr>
              <w:t>改</w:t>
            </w:r>
            <w:r>
              <w:rPr>
                <w:rFonts w:ascii="宋体" w:hAnsi="宋体" w:eastAsia="宋体" w:cs="宋体"/>
                <w:spacing w:val="4"/>
                <w:sz w:val="17"/>
                <w:szCs w:val="17"/>
              </w:rPr>
              <w:t>的 (个)</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109" w:type="dxa"/>
            <w:vMerge w:val="restart"/>
            <w:tcBorders>
              <w:left w:val="single" w:color="000000" w:sz="6" w:space="0"/>
              <w:bottom w:val="nil"/>
            </w:tcBorders>
            <w:vAlign w:val="top"/>
          </w:tcPr>
          <w:p>
            <w:pPr>
              <w:spacing w:line="437" w:lineRule="auto"/>
              <w:rPr>
                <w:rFonts w:ascii="Arial"/>
                <w:sz w:val="21"/>
              </w:rPr>
            </w:pPr>
          </w:p>
          <w:p>
            <w:pPr>
              <w:spacing w:before="80" w:line="224" w:lineRule="auto"/>
              <w:ind w:left="220"/>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对</w:t>
            </w:r>
            <w:r>
              <w:rPr>
                <w:rFonts w:ascii="方正黑体_GBK" w:hAnsi="方正黑体_GBK" w:eastAsia="方正黑体_GBK" w:cs="方正黑体_GBK"/>
                <w:spacing w:val="-1"/>
                <w:sz w:val="22"/>
                <w:szCs w:val="22"/>
              </w:rPr>
              <w:t>企业</w:t>
            </w:r>
          </w:p>
          <w:p>
            <w:pPr>
              <w:spacing w:before="1" w:line="223" w:lineRule="auto"/>
              <w:ind w:left="254"/>
              <w:rPr>
                <w:rFonts w:ascii="方正黑体_GBK" w:hAnsi="方正黑体_GBK" w:eastAsia="方正黑体_GBK" w:cs="方正黑体_GBK"/>
                <w:sz w:val="22"/>
                <w:szCs w:val="22"/>
              </w:rPr>
            </w:pPr>
            <w:r>
              <w:rPr>
                <w:rFonts w:ascii="方正黑体_GBK" w:hAnsi="方正黑体_GBK" w:eastAsia="方正黑体_GBK" w:cs="方正黑体_GBK"/>
                <w:spacing w:val="-14"/>
                <w:sz w:val="22"/>
                <w:szCs w:val="22"/>
              </w:rPr>
              <w:t>自</w:t>
            </w:r>
            <w:r>
              <w:rPr>
                <w:rFonts w:ascii="方正黑体_GBK" w:hAnsi="方正黑体_GBK" w:eastAsia="方正黑体_GBK" w:cs="方正黑体_GBK"/>
                <w:spacing w:val="-12"/>
                <w:sz w:val="22"/>
                <w:szCs w:val="22"/>
              </w:rPr>
              <w:t>查自</w:t>
            </w:r>
          </w:p>
          <w:p>
            <w:pPr>
              <w:spacing w:before="1" w:line="223" w:lineRule="auto"/>
              <w:ind w:left="231"/>
              <w:rPr>
                <w:rFonts w:ascii="方正黑体_GBK" w:hAnsi="方正黑体_GBK" w:eastAsia="方正黑体_GBK" w:cs="方正黑体_GBK"/>
                <w:sz w:val="22"/>
                <w:szCs w:val="22"/>
              </w:rPr>
            </w:pPr>
            <w:r>
              <w:rPr>
                <w:rFonts w:ascii="方正黑体_GBK" w:hAnsi="方正黑体_GBK" w:eastAsia="方正黑体_GBK" w:cs="方正黑体_GBK"/>
                <w:spacing w:val="-5"/>
                <w:sz w:val="22"/>
                <w:szCs w:val="22"/>
              </w:rPr>
              <w:t>改进行</w:t>
            </w:r>
          </w:p>
          <w:p>
            <w:pPr>
              <w:spacing w:before="1" w:line="223" w:lineRule="auto"/>
              <w:ind w:left="222"/>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抽查检</w:t>
            </w:r>
          </w:p>
          <w:p>
            <w:pPr>
              <w:spacing w:before="1" w:line="232" w:lineRule="auto"/>
              <w:ind w:left="223"/>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查情况</w:t>
            </w:r>
          </w:p>
        </w:tc>
        <w:tc>
          <w:tcPr>
            <w:tcW w:w="423" w:type="dxa"/>
            <w:vAlign w:val="top"/>
          </w:tcPr>
          <w:p>
            <w:pPr>
              <w:spacing w:before="246" w:line="195" w:lineRule="auto"/>
              <w:ind w:left="17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737" w:type="dxa"/>
            <w:vAlign w:val="top"/>
          </w:tcPr>
          <w:p>
            <w:pPr>
              <w:spacing w:before="221" w:line="231" w:lineRule="auto"/>
              <w:ind w:left="108"/>
              <w:rPr>
                <w:rFonts w:ascii="宋体" w:hAnsi="宋体" w:eastAsia="宋体" w:cs="宋体"/>
                <w:sz w:val="17"/>
                <w:szCs w:val="17"/>
              </w:rPr>
            </w:pPr>
            <w:r>
              <w:rPr>
                <w:rFonts w:ascii="宋体" w:hAnsi="宋体" w:eastAsia="宋体" w:cs="宋体"/>
                <w:spacing w:val="8"/>
                <w:sz w:val="17"/>
                <w:szCs w:val="17"/>
              </w:rPr>
              <w:t>部门抽查检查的企业总数 (家)</w:t>
            </w:r>
          </w:p>
        </w:tc>
        <w:tc>
          <w:tcPr>
            <w:tcW w:w="564" w:type="dxa"/>
            <w:vAlign w:val="top"/>
          </w:tcPr>
          <w:p>
            <w:pPr>
              <w:rPr>
                <w:rFonts w:ascii="Arial"/>
                <w:sz w:val="21"/>
              </w:rPr>
            </w:pPr>
          </w:p>
        </w:tc>
        <w:tc>
          <w:tcPr>
            <w:tcW w:w="552" w:type="dxa"/>
            <w:vAlign w:val="top"/>
          </w:tcPr>
          <w:p>
            <w:pPr>
              <w:spacing w:before="246" w:line="195" w:lineRule="auto"/>
              <w:ind w:left="231"/>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083" w:type="dxa"/>
            <w:vAlign w:val="top"/>
          </w:tcPr>
          <w:p>
            <w:pPr>
              <w:spacing w:before="120" w:line="233" w:lineRule="auto"/>
              <w:ind w:left="115" w:right="269" w:firstLine="2"/>
              <w:rPr>
                <w:rFonts w:ascii="宋体" w:hAnsi="宋体" w:eastAsia="宋体" w:cs="宋体"/>
                <w:sz w:val="17"/>
                <w:szCs w:val="17"/>
              </w:rPr>
            </w:pPr>
            <w:r>
              <w:rPr>
                <w:rFonts w:ascii="宋体" w:hAnsi="宋体" w:eastAsia="宋体" w:cs="宋体"/>
                <w:spacing w:val="14"/>
                <w:sz w:val="17"/>
                <w:szCs w:val="17"/>
              </w:rPr>
              <w:t>企</w:t>
            </w:r>
            <w:r>
              <w:rPr>
                <w:rFonts w:ascii="宋体" w:hAnsi="宋体" w:eastAsia="宋体" w:cs="宋体"/>
                <w:spacing w:val="9"/>
                <w:sz w:val="17"/>
                <w:szCs w:val="17"/>
              </w:rPr>
              <w:t>业主要负责人未按要求亲自研究</w:t>
            </w:r>
            <w:r>
              <w:rPr>
                <w:rFonts w:ascii="宋体" w:hAnsi="宋体" w:eastAsia="宋体" w:cs="宋体"/>
                <w:sz w:val="17"/>
                <w:szCs w:val="17"/>
              </w:rPr>
              <w:t xml:space="preserve"> </w:t>
            </w:r>
            <w:r>
              <w:rPr>
                <w:rFonts w:ascii="宋体" w:hAnsi="宋体" w:eastAsia="宋体" w:cs="宋体"/>
                <w:spacing w:val="9"/>
                <w:sz w:val="17"/>
                <w:szCs w:val="17"/>
              </w:rPr>
              <w:t>排</w:t>
            </w:r>
            <w:r>
              <w:rPr>
                <w:rFonts w:ascii="宋体" w:hAnsi="宋体" w:eastAsia="宋体" w:cs="宋体"/>
                <w:spacing w:val="7"/>
                <w:sz w:val="17"/>
                <w:szCs w:val="17"/>
              </w:rPr>
              <w:t>查整治工作 (家)</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09" w:type="dxa"/>
            <w:vMerge w:val="continue"/>
            <w:tcBorders>
              <w:top w:val="nil"/>
              <w:left w:val="single" w:color="000000" w:sz="6" w:space="0"/>
              <w:bottom w:val="nil"/>
            </w:tcBorders>
            <w:vAlign w:val="top"/>
          </w:tcPr>
          <w:p>
            <w:pPr>
              <w:rPr>
                <w:rFonts w:ascii="Arial"/>
                <w:sz w:val="21"/>
              </w:rPr>
            </w:pPr>
          </w:p>
        </w:tc>
        <w:tc>
          <w:tcPr>
            <w:tcW w:w="423" w:type="dxa"/>
            <w:vAlign w:val="top"/>
          </w:tcPr>
          <w:p>
            <w:pPr>
              <w:spacing w:before="247" w:line="195" w:lineRule="auto"/>
              <w:ind w:left="165"/>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2737" w:type="dxa"/>
            <w:vAlign w:val="top"/>
          </w:tcPr>
          <w:p>
            <w:pPr>
              <w:spacing w:before="222" w:line="231" w:lineRule="auto"/>
              <w:ind w:left="109"/>
              <w:rPr>
                <w:rFonts w:ascii="宋体" w:hAnsi="宋体" w:eastAsia="宋体" w:cs="宋体"/>
                <w:sz w:val="17"/>
                <w:szCs w:val="17"/>
              </w:rPr>
            </w:pPr>
            <w:r>
              <w:rPr>
                <w:rFonts w:ascii="宋体" w:hAnsi="宋体" w:eastAsia="宋体" w:cs="宋体"/>
                <w:spacing w:val="16"/>
                <w:sz w:val="17"/>
                <w:szCs w:val="17"/>
              </w:rPr>
              <w:t>企</w:t>
            </w:r>
            <w:r>
              <w:rPr>
                <w:rFonts w:ascii="宋体" w:hAnsi="宋体" w:eastAsia="宋体" w:cs="宋体"/>
                <w:spacing w:val="11"/>
                <w:sz w:val="17"/>
                <w:szCs w:val="17"/>
              </w:rPr>
              <w:t>业</w:t>
            </w:r>
            <w:r>
              <w:rPr>
                <w:rFonts w:ascii="宋体" w:hAnsi="宋体" w:eastAsia="宋体" w:cs="宋体"/>
                <w:spacing w:val="8"/>
                <w:sz w:val="17"/>
                <w:szCs w:val="17"/>
              </w:rPr>
              <w:t>主要负责人未带队检查(家)</w:t>
            </w:r>
          </w:p>
        </w:tc>
        <w:tc>
          <w:tcPr>
            <w:tcW w:w="564" w:type="dxa"/>
            <w:vAlign w:val="top"/>
          </w:tcPr>
          <w:p>
            <w:pPr>
              <w:rPr>
                <w:rFonts w:ascii="Arial"/>
                <w:sz w:val="21"/>
              </w:rPr>
            </w:pPr>
          </w:p>
        </w:tc>
        <w:tc>
          <w:tcPr>
            <w:tcW w:w="552" w:type="dxa"/>
            <w:vAlign w:val="top"/>
          </w:tcPr>
          <w:p>
            <w:pPr>
              <w:spacing w:before="247" w:line="195" w:lineRule="auto"/>
              <w:ind w:left="231"/>
              <w:rPr>
                <w:rFonts w:ascii="Times New Roman" w:hAnsi="Times New Roman" w:eastAsia="Times New Roman" w:cs="Times New Roman"/>
                <w:sz w:val="19"/>
                <w:szCs w:val="19"/>
              </w:rPr>
            </w:pPr>
            <w:r>
              <w:rPr>
                <w:rFonts w:ascii="Times New Roman" w:hAnsi="Times New Roman" w:eastAsia="Times New Roman" w:cs="Times New Roman"/>
                <w:sz w:val="19"/>
                <w:szCs w:val="19"/>
              </w:rPr>
              <w:t>4</w:t>
            </w:r>
          </w:p>
        </w:tc>
        <w:tc>
          <w:tcPr>
            <w:tcW w:w="3083" w:type="dxa"/>
            <w:vAlign w:val="top"/>
          </w:tcPr>
          <w:p>
            <w:pPr>
              <w:spacing w:before="121" w:line="233" w:lineRule="auto"/>
              <w:ind w:left="124" w:right="449" w:hanging="6"/>
              <w:rPr>
                <w:rFonts w:ascii="宋体" w:hAnsi="宋体" w:eastAsia="宋体" w:cs="宋体"/>
                <w:sz w:val="17"/>
                <w:szCs w:val="17"/>
              </w:rPr>
            </w:pPr>
            <w:r>
              <w:rPr>
                <w:rFonts w:ascii="宋体" w:hAnsi="宋体" w:eastAsia="宋体" w:cs="宋体"/>
                <w:spacing w:val="13"/>
                <w:sz w:val="17"/>
                <w:szCs w:val="17"/>
              </w:rPr>
              <w:t>企</w:t>
            </w:r>
            <w:r>
              <w:rPr>
                <w:rFonts w:ascii="宋体" w:hAnsi="宋体" w:eastAsia="宋体" w:cs="宋体"/>
                <w:spacing w:val="9"/>
                <w:sz w:val="17"/>
                <w:szCs w:val="17"/>
              </w:rPr>
              <w:t>业未制定分管负责人职责清单</w:t>
            </w:r>
            <w:r>
              <w:rPr>
                <w:rFonts w:ascii="宋体" w:hAnsi="宋体" w:eastAsia="宋体" w:cs="宋体"/>
                <w:sz w:val="17"/>
                <w:szCs w:val="17"/>
              </w:rPr>
              <w:t xml:space="preserve"> </w:t>
            </w:r>
            <w:r>
              <w:rPr>
                <w:rFonts w:ascii="宋体" w:hAnsi="宋体" w:eastAsia="宋体" w:cs="宋体"/>
                <w:spacing w:val="30"/>
                <w:sz w:val="17"/>
                <w:szCs w:val="17"/>
              </w:rPr>
              <w:t>(</w:t>
            </w:r>
            <w:r>
              <w:rPr>
                <w:rFonts w:ascii="宋体" w:hAnsi="宋体" w:eastAsia="宋体" w:cs="宋体"/>
                <w:spacing w:val="29"/>
                <w:sz w:val="17"/>
                <w:szCs w:val="17"/>
              </w:rPr>
              <w:t>家)</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09" w:type="dxa"/>
            <w:vMerge w:val="continue"/>
            <w:tcBorders>
              <w:top w:val="nil"/>
              <w:left w:val="single" w:color="000000" w:sz="6" w:space="0"/>
              <w:bottom w:val="nil"/>
            </w:tcBorders>
            <w:vAlign w:val="top"/>
          </w:tcPr>
          <w:p>
            <w:pPr>
              <w:rPr>
                <w:rFonts w:ascii="Arial"/>
                <w:sz w:val="21"/>
              </w:rPr>
            </w:pPr>
          </w:p>
        </w:tc>
        <w:tc>
          <w:tcPr>
            <w:tcW w:w="423" w:type="dxa"/>
            <w:vAlign w:val="top"/>
          </w:tcPr>
          <w:p>
            <w:pPr>
              <w:spacing w:before="250" w:line="192" w:lineRule="auto"/>
              <w:ind w:left="166"/>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2737" w:type="dxa"/>
            <w:vAlign w:val="top"/>
          </w:tcPr>
          <w:p>
            <w:pPr>
              <w:spacing w:before="120" w:line="233" w:lineRule="auto"/>
              <w:ind w:left="106" w:right="112" w:firstLine="2"/>
              <w:rPr>
                <w:rFonts w:ascii="宋体" w:hAnsi="宋体" w:eastAsia="宋体" w:cs="宋体"/>
                <w:sz w:val="17"/>
                <w:szCs w:val="17"/>
              </w:rPr>
            </w:pPr>
            <w:r>
              <w:rPr>
                <w:rFonts w:ascii="宋体" w:hAnsi="宋体" w:eastAsia="宋体" w:cs="宋体"/>
                <w:spacing w:val="13"/>
                <w:sz w:val="17"/>
                <w:szCs w:val="17"/>
              </w:rPr>
              <w:t>企</w:t>
            </w:r>
            <w:r>
              <w:rPr>
                <w:rFonts w:ascii="宋体" w:hAnsi="宋体" w:eastAsia="宋体" w:cs="宋体"/>
                <w:spacing w:val="9"/>
                <w:sz w:val="17"/>
                <w:szCs w:val="17"/>
              </w:rPr>
              <w:t>业未依法建立安全管理机构和</w:t>
            </w:r>
            <w:r>
              <w:rPr>
                <w:rFonts w:ascii="宋体" w:hAnsi="宋体" w:eastAsia="宋体" w:cs="宋体"/>
                <w:sz w:val="17"/>
                <w:szCs w:val="17"/>
              </w:rPr>
              <w:t xml:space="preserve"> </w:t>
            </w:r>
            <w:r>
              <w:rPr>
                <w:rFonts w:ascii="宋体" w:hAnsi="宋体" w:eastAsia="宋体" w:cs="宋体"/>
                <w:spacing w:val="14"/>
                <w:sz w:val="17"/>
                <w:szCs w:val="17"/>
              </w:rPr>
              <w:t>配</w:t>
            </w:r>
            <w:r>
              <w:rPr>
                <w:rFonts w:ascii="宋体" w:hAnsi="宋体" w:eastAsia="宋体" w:cs="宋体"/>
                <w:spacing w:val="8"/>
                <w:sz w:val="17"/>
                <w:szCs w:val="17"/>
              </w:rPr>
              <w:t>足</w:t>
            </w:r>
            <w:r>
              <w:rPr>
                <w:rFonts w:ascii="宋体" w:hAnsi="宋体" w:eastAsia="宋体" w:cs="宋体"/>
                <w:spacing w:val="7"/>
                <w:sz w:val="17"/>
                <w:szCs w:val="17"/>
              </w:rPr>
              <w:t>安全管理人员 (家)</w:t>
            </w:r>
          </w:p>
        </w:tc>
        <w:tc>
          <w:tcPr>
            <w:tcW w:w="564" w:type="dxa"/>
            <w:vAlign w:val="top"/>
          </w:tcPr>
          <w:p>
            <w:pPr>
              <w:rPr>
                <w:rFonts w:ascii="Arial"/>
                <w:sz w:val="21"/>
              </w:rPr>
            </w:pPr>
          </w:p>
        </w:tc>
        <w:tc>
          <w:tcPr>
            <w:tcW w:w="552" w:type="dxa"/>
            <w:vAlign w:val="top"/>
          </w:tcPr>
          <w:p>
            <w:pPr>
              <w:spacing w:before="247" w:line="195" w:lineRule="auto"/>
              <w:ind w:left="235"/>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083" w:type="dxa"/>
            <w:vAlign w:val="top"/>
          </w:tcPr>
          <w:p>
            <w:pPr>
              <w:spacing w:before="121" w:line="233" w:lineRule="auto"/>
              <w:ind w:left="116" w:right="269" w:firstLine="20"/>
              <w:rPr>
                <w:rFonts w:ascii="宋体" w:hAnsi="宋体" w:eastAsia="宋体" w:cs="宋体"/>
                <w:sz w:val="17"/>
                <w:szCs w:val="17"/>
              </w:rPr>
            </w:pPr>
            <w:r>
              <w:rPr>
                <w:rFonts w:ascii="宋体" w:hAnsi="宋体" w:eastAsia="宋体" w:cs="宋体"/>
                <w:spacing w:val="9"/>
                <w:sz w:val="17"/>
                <w:szCs w:val="17"/>
              </w:rPr>
              <w:t>电</w:t>
            </w:r>
            <w:r>
              <w:rPr>
                <w:rFonts w:ascii="宋体" w:hAnsi="宋体" w:eastAsia="宋体" w:cs="宋体"/>
                <w:spacing w:val="8"/>
                <w:sz w:val="17"/>
                <w:szCs w:val="17"/>
              </w:rPr>
              <w:t>焊等特种作业岗位人员无证上岗</w:t>
            </w:r>
            <w:r>
              <w:rPr>
                <w:rFonts w:ascii="宋体" w:hAnsi="宋体" w:eastAsia="宋体" w:cs="宋体"/>
                <w:sz w:val="17"/>
                <w:szCs w:val="17"/>
              </w:rPr>
              <w:t xml:space="preserve"> </w:t>
            </w:r>
            <w:r>
              <w:rPr>
                <w:rFonts w:ascii="宋体" w:hAnsi="宋体" w:eastAsia="宋体" w:cs="宋体"/>
                <w:spacing w:val="7"/>
                <w:sz w:val="17"/>
                <w:szCs w:val="17"/>
              </w:rPr>
              <w:t>作</w:t>
            </w:r>
            <w:r>
              <w:rPr>
                <w:rFonts w:ascii="宋体" w:hAnsi="宋体" w:eastAsia="宋体" w:cs="宋体"/>
                <w:spacing w:val="5"/>
                <w:sz w:val="17"/>
                <w:szCs w:val="17"/>
              </w:rPr>
              <w:t>业 (家)</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109" w:type="dxa"/>
            <w:vMerge w:val="continue"/>
            <w:tcBorders>
              <w:top w:val="nil"/>
              <w:left w:val="single" w:color="000000" w:sz="6" w:space="0"/>
            </w:tcBorders>
            <w:vAlign w:val="top"/>
          </w:tcPr>
          <w:p>
            <w:pPr>
              <w:rPr>
                <w:rFonts w:ascii="Arial"/>
                <w:sz w:val="21"/>
              </w:rPr>
            </w:pPr>
          </w:p>
        </w:tc>
        <w:tc>
          <w:tcPr>
            <w:tcW w:w="423" w:type="dxa"/>
            <w:vAlign w:val="top"/>
          </w:tcPr>
          <w:p>
            <w:pPr>
              <w:spacing w:before="250" w:line="192" w:lineRule="auto"/>
              <w:ind w:left="164"/>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2737" w:type="dxa"/>
            <w:vAlign w:val="top"/>
          </w:tcPr>
          <w:p>
            <w:pPr>
              <w:spacing w:before="222" w:line="231" w:lineRule="auto"/>
              <w:ind w:left="110"/>
              <w:rPr>
                <w:rFonts w:ascii="宋体" w:hAnsi="宋体" w:eastAsia="宋体" w:cs="宋体"/>
                <w:sz w:val="17"/>
                <w:szCs w:val="17"/>
              </w:rPr>
            </w:pPr>
            <w:r>
              <w:rPr>
                <w:rFonts w:ascii="宋体" w:hAnsi="宋体" w:eastAsia="宋体" w:cs="宋体"/>
                <w:spacing w:val="8"/>
                <w:sz w:val="17"/>
                <w:szCs w:val="17"/>
              </w:rPr>
              <w:t>外包外租安全管理混乱 (家</w:t>
            </w:r>
            <w:r>
              <w:rPr>
                <w:rFonts w:ascii="宋体" w:hAnsi="宋体" w:eastAsia="宋体" w:cs="宋体"/>
                <w:spacing w:val="5"/>
                <w:sz w:val="17"/>
                <w:szCs w:val="17"/>
              </w:rPr>
              <w:t>)</w:t>
            </w:r>
          </w:p>
        </w:tc>
        <w:tc>
          <w:tcPr>
            <w:tcW w:w="564" w:type="dxa"/>
            <w:vAlign w:val="top"/>
          </w:tcPr>
          <w:p>
            <w:pPr>
              <w:rPr>
                <w:rFonts w:ascii="Arial"/>
                <w:sz w:val="21"/>
              </w:rPr>
            </w:pPr>
          </w:p>
        </w:tc>
        <w:tc>
          <w:tcPr>
            <w:tcW w:w="552" w:type="dxa"/>
            <w:vAlign w:val="top"/>
          </w:tcPr>
          <w:p>
            <w:pPr>
              <w:spacing w:before="247" w:line="195" w:lineRule="auto"/>
              <w:ind w:left="238"/>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3083" w:type="dxa"/>
            <w:vAlign w:val="top"/>
          </w:tcPr>
          <w:p>
            <w:pPr>
              <w:spacing w:before="121" w:line="233" w:lineRule="auto"/>
              <w:ind w:left="116" w:right="99" w:firstLine="1"/>
              <w:rPr>
                <w:rFonts w:ascii="宋体" w:hAnsi="宋体" w:eastAsia="宋体" w:cs="宋体"/>
                <w:sz w:val="17"/>
                <w:szCs w:val="17"/>
              </w:rPr>
            </w:pPr>
            <w:r>
              <w:rPr>
                <w:rFonts w:ascii="宋体" w:hAnsi="宋体" w:eastAsia="宋体" w:cs="宋体"/>
                <w:spacing w:val="16"/>
                <w:sz w:val="17"/>
                <w:szCs w:val="17"/>
              </w:rPr>
              <w:t>未</w:t>
            </w:r>
            <w:r>
              <w:rPr>
                <w:rFonts w:ascii="宋体" w:hAnsi="宋体" w:eastAsia="宋体" w:cs="宋体"/>
                <w:spacing w:val="12"/>
                <w:sz w:val="17"/>
                <w:szCs w:val="17"/>
              </w:rPr>
              <w:t>按</w:t>
            </w:r>
            <w:r>
              <w:rPr>
                <w:rFonts w:ascii="宋体" w:hAnsi="宋体" w:eastAsia="宋体" w:cs="宋体"/>
                <w:spacing w:val="8"/>
                <w:sz w:val="17"/>
                <w:szCs w:val="17"/>
              </w:rPr>
              <w:t>规定开展应急演练、员工不熟悉</w:t>
            </w:r>
            <w:r>
              <w:rPr>
                <w:rFonts w:ascii="宋体" w:hAnsi="宋体" w:eastAsia="宋体" w:cs="宋体"/>
                <w:sz w:val="17"/>
                <w:szCs w:val="17"/>
              </w:rPr>
              <w:t xml:space="preserve"> </w:t>
            </w:r>
            <w:r>
              <w:rPr>
                <w:rFonts w:ascii="宋体" w:hAnsi="宋体" w:eastAsia="宋体" w:cs="宋体"/>
                <w:spacing w:val="9"/>
                <w:sz w:val="17"/>
                <w:szCs w:val="17"/>
              </w:rPr>
              <w:t>逃</w:t>
            </w:r>
            <w:r>
              <w:rPr>
                <w:rFonts w:ascii="宋体" w:hAnsi="宋体" w:eastAsia="宋体" w:cs="宋体"/>
                <w:spacing w:val="6"/>
                <w:sz w:val="17"/>
                <w:szCs w:val="17"/>
              </w:rPr>
              <w:t>生出口 (家)</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09" w:type="dxa"/>
            <w:vMerge w:val="restart"/>
            <w:tcBorders>
              <w:left w:val="single" w:color="000000" w:sz="6" w:space="0"/>
              <w:bottom w:val="nil"/>
            </w:tcBorders>
            <w:vAlign w:val="top"/>
          </w:tcPr>
          <w:p>
            <w:pPr>
              <w:spacing w:line="272" w:lineRule="auto"/>
              <w:rPr>
                <w:rFonts w:ascii="Arial"/>
                <w:sz w:val="21"/>
              </w:rPr>
            </w:pPr>
          </w:p>
          <w:p>
            <w:pPr>
              <w:spacing w:line="272" w:lineRule="auto"/>
              <w:rPr>
                <w:rFonts w:ascii="Arial"/>
                <w:sz w:val="21"/>
              </w:rPr>
            </w:pPr>
          </w:p>
          <w:p>
            <w:pPr>
              <w:spacing w:before="80" w:line="224" w:lineRule="auto"/>
              <w:ind w:left="334"/>
              <w:rPr>
                <w:rFonts w:ascii="方正黑体_GBK" w:hAnsi="方正黑体_GBK" w:eastAsia="方正黑体_GBK" w:cs="方正黑体_GBK"/>
                <w:sz w:val="22"/>
                <w:szCs w:val="22"/>
              </w:rPr>
            </w:pPr>
            <w:r>
              <w:rPr>
                <w:rFonts w:ascii="方正黑体_GBK" w:hAnsi="方正黑体_GBK" w:eastAsia="方正黑体_GBK" w:cs="方正黑体_GBK"/>
                <w:spacing w:val="-6"/>
                <w:sz w:val="22"/>
                <w:szCs w:val="22"/>
              </w:rPr>
              <w:t>部</w:t>
            </w:r>
            <w:r>
              <w:rPr>
                <w:rFonts w:ascii="方正黑体_GBK" w:hAnsi="方正黑体_GBK" w:eastAsia="方正黑体_GBK" w:cs="方正黑体_GBK"/>
                <w:spacing w:val="-4"/>
                <w:sz w:val="22"/>
                <w:szCs w:val="22"/>
              </w:rPr>
              <w:t>门</w:t>
            </w:r>
          </w:p>
          <w:p>
            <w:pPr>
              <w:spacing w:before="1" w:line="223" w:lineRule="auto"/>
              <w:ind w:left="329"/>
              <w:rPr>
                <w:rFonts w:ascii="方正黑体_GBK" w:hAnsi="方正黑体_GBK" w:eastAsia="方正黑体_GBK" w:cs="方正黑体_GBK"/>
                <w:sz w:val="22"/>
                <w:szCs w:val="22"/>
              </w:rPr>
            </w:pPr>
            <w:r>
              <w:rPr>
                <w:rFonts w:ascii="方正黑体_GBK" w:hAnsi="方正黑体_GBK" w:eastAsia="方正黑体_GBK" w:cs="方正黑体_GBK"/>
                <w:spacing w:val="-3"/>
                <w:sz w:val="22"/>
                <w:szCs w:val="22"/>
              </w:rPr>
              <w:t>精</w:t>
            </w:r>
            <w:r>
              <w:rPr>
                <w:rFonts w:ascii="方正黑体_GBK" w:hAnsi="方正黑体_GBK" w:eastAsia="方正黑体_GBK" w:cs="方正黑体_GBK"/>
                <w:spacing w:val="-2"/>
                <w:sz w:val="22"/>
                <w:szCs w:val="22"/>
              </w:rPr>
              <w:t>准</w:t>
            </w:r>
          </w:p>
          <w:p>
            <w:pPr>
              <w:spacing w:before="1" w:line="223" w:lineRule="auto"/>
              <w:ind w:left="328"/>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严格</w:t>
            </w:r>
          </w:p>
          <w:p>
            <w:pPr>
              <w:spacing w:before="1" w:line="223" w:lineRule="auto"/>
              <w:ind w:left="335"/>
              <w:rPr>
                <w:rFonts w:ascii="方正黑体_GBK" w:hAnsi="方正黑体_GBK" w:eastAsia="方正黑体_GBK" w:cs="方正黑体_GBK"/>
                <w:sz w:val="22"/>
                <w:szCs w:val="22"/>
              </w:rPr>
            </w:pPr>
            <w:r>
              <w:rPr>
                <w:rFonts w:ascii="方正黑体_GBK" w:hAnsi="方正黑体_GBK" w:eastAsia="方正黑体_GBK" w:cs="方正黑体_GBK"/>
                <w:spacing w:val="-6"/>
                <w:sz w:val="22"/>
                <w:szCs w:val="22"/>
              </w:rPr>
              <w:t>执</w:t>
            </w:r>
            <w:r>
              <w:rPr>
                <w:rFonts w:ascii="方正黑体_GBK" w:hAnsi="方正黑体_GBK" w:eastAsia="方正黑体_GBK" w:cs="方正黑体_GBK"/>
                <w:spacing w:val="-5"/>
                <w:sz w:val="22"/>
                <w:szCs w:val="22"/>
              </w:rPr>
              <w:t>法</w:t>
            </w:r>
          </w:p>
          <w:p>
            <w:pPr>
              <w:spacing w:before="1" w:line="232" w:lineRule="auto"/>
              <w:ind w:left="33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情</w:t>
            </w:r>
            <w:r>
              <w:rPr>
                <w:rFonts w:ascii="方正黑体_GBK" w:hAnsi="方正黑体_GBK" w:eastAsia="方正黑体_GBK" w:cs="方正黑体_GBK"/>
                <w:spacing w:val="-2"/>
                <w:sz w:val="22"/>
                <w:szCs w:val="22"/>
              </w:rPr>
              <w:t>况</w:t>
            </w:r>
          </w:p>
        </w:tc>
        <w:tc>
          <w:tcPr>
            <w:tcW w:w="423" w:type="dxa"/>
            <w:vAlign w:val="top"/>
          </w:tcPr>
          <w:p>
            <w:pPr>
              <w:spacing w:before="164" w:line="195" w:lineRule="auto"/>
              <w:ind w:left="17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737" w:type="dxa"/>
            <w:vAlign w:val="top"/>
          </w:tcPr>
          <w:p>
            <w:pPr>
              <w:spacing w:before="139" w:line="231" w:lineRule="auto"/>
              <w:ind w:left="110"/>
              <w:rPr>
                <w:rFonts w:ascii="宋体" w:hAnsi="宋体" w:eastAsia="宋体" w:cs="宋体"/>
                <w:sz w:val="17"/>
                <w:szCs w:val="17"/>
              </w:rPr>
            </w:pPr>
            <w:r>
              <w:rPr>
                <w:rFonts w:ascii="宋体" w:hAnsi="宋体" w:eastAsia="宋体" w:cs="宋体"/>
                <w:spacing w:val="8"/>
                <w:sz w:val="17"/>
                <w:szCs w:val="17"/>
              </w:rPr>
              <w:t>帮扶指导重点镇、园区 (个次</w:t>
            </w:r>
            <w:r>
              <w:rPr>
                <w:rFonts w:ascii="宋体" w:hAnsi="宋体" w:eastAsia="宋体" w:cs="宋体"/>
                <w:spacing w:val="7"/>
                <w:sz w:val="17"/>
                <w:szCs w:val="17"/>
              </w:rPr>
              <w:t>)</w:t>
            </w:r>
          </w:p>
        </w:tc>
        <w:tc>
          <w:tcPr>
            <w:tcW w:w="564" w:type="dxa"/>
            <w:vAlign w:val="top"/>
          </w:tcPr>
          <w:p>
            <w:pPr>
              <w:rPr>
                <w:rFonts w:ascii="Arial"/>
                <w:sz w:val="21"/>
              </w:rPr>
            </w:pPr>
          </w:p>
        </w:tc>
        <w:tc>
          <w:tcPr>
            <w:tcW w:w="552" w:type="dxa"/>
            <w:vAlign w:val="top"/>
          </w:tcPr>
          <w:p>
            <w:pPr>
              <w:spacing w:before="164" w:line="195" w:lineRule="auto"/>
              <w:ind w:left="231"/>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083" w:type="dxa"/>
            <w:vAlign w:val="top"/>
          </w:tcPr>
          <w:p>
            <w:pPr>
              <w:spacing w:before="139" w:line="231" w:lineRule="auto"/>
              <w:ind w:left="119"/>
              <w:rPr>
                <w:rFonts w:ascii="宋体" w:hAnsi="宋体" w:eastAsia="宋体" w:cs="宋体"/>
                <w:sz w:val="17"/>
                <w:szCs w:val="17"/>
              </w:rPr>
            </w:pPr>
            <w:r>
              <w:rPr>
                <w:rFonts w:ascii="宋体" w:hAnsi="宋体" w:eastAsia="宋体" w:cs="宋体"/>
                <w:spacing w:val="14"/>
                <w:sz w:val="17"/>
                <w:szCs w:val="17"/>
              </w:rPr>
              <w:t>帮</w:t>
            </w:r>
            <w:r>
              <w:rPr>
                <w:rFonts w:ascii="宋体" w:hAnsi="宋体" w:eastAsia="宋体" w:cs="宋体"/>
                <w:spacing w:val="8"/>
                <w:sz w:val="17"/>
                <w:szCs w:val="17"/>
              </w:rPr>
              <w:t>扶</w:t>
            </w:r>
            <w:r>
              <w:rPr>
                <w:rFonts w:ascii="宋体" w:hAnsi="宋体" w:eastAsia="宋体" w:cs="宋体"/>
                <w:spacing w:val="7"/>
                <w:sz w:val="17"/>
                <w:szCs w:val="17"/>
              </w:rPr>
              <w:t>指导重点企业 (家次)</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109" w:type="dxa"/>
            <w:vMerge w:val="continue"/>
            <w:tcBorders>
              <w:top w:val="nil"/>
              <w:left w:val="single" w:color="000000" w:sz="6" w:space="0"/>
              <w:bottom w:val="nil"/>
            </w:tcBorders>
            <w:vAlign w:val="top"/>
          </w:tcPr>
          <w:p>
            <w:pPr>
              <w:rPr>
                <w:rFonts w:ascii="Arial"/>
                <w:sz w:val="21"/>
              </w:rPr>
            </w:pPr>
          </w:p>
        </w:tc>
        <w:tc>
          <w:tcPr>
            <w:tcW w:w="423" w:type="dxa"/>
            <w:vAlign w:val="top"/>
          </w:tcPr>
          <w:p>
            <w:pPr>
              <w:spacing w:before="248" w:line="195" w:lineRule="auto"/>
              <w:ind w:left="165"/>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2737" w:type="dxa"/>
            <w:vAlign w:val="top"/>
          </w:tcPr>
          <w:p>
            <w:pPr>
              <w:spacing w:before="223" w:line="231" w:lineRule="auto"/>
              <w:ind w:left="109"/>
              <w:rPr>
                <w:rFonts w:ascii="宋体" w:hAnsi="宋体" w:eastAsia="宋体" w:cs="宋体"/>
                <w:sz w:val="17"/>
                <w:szCs w:val="17"/>
              </w:rPr>
            </w:pPr>
            <w:r>
              <w:rPr>
                <w:rFonts w:ascii="宋体" w:hAnsi="宋体" w:eastAsia="宋体" w:cs="宋体"/>
                <w:spacing w:val="10"/>
                <w:sz w:val="17"/>
                <w:szCs w:val="17"/>
              </w:rPr>
              <w:t>行</w:t>
            </w:r>
            <w:r>
              <w:rPr>
                <w:rFonts w:ascii="宋体" w:hAnsi="宋体" w:eastAsia="宋体" w:cs="宋体"/>
                <w:spacing w:val="7"/>
                <w:sz w:val="17"/>
                <w:szCs w:val="17"/>
              </w:rPr>
              <w:t>政处罚 (次，万元)</w:t>
            </w:r>
          </w:p>
        </w:tc>
        <w:tc>
          <w:tcPr>
            <w:tcW w:w="564" w:type="dxa"/>
            <w:vAlign w:val="top"/>
          </w:tcPr>
          <w:p>
            <w:pPr>
              <w:rPr>
                <w:rFonts w:ascii="Arial"/>
                <w:sz w:val="21"/>
              </w:rPr>
            </w:pPr>
          </w:p>
        </w:tc>
        <w:tc>
          <w:tcPr>
            <w:tcW w:w="552" w:type="dxa"/>
            <w:vAlign w:val="top"/>
          </w:tcPr>
          <w:p>
            <w:pPr>
              <w:spacing w:before="248" w:line="195" w:lineRule="auto"/>
              <w:ind w:left="231"/>
              <w:rPr>
                <w:rFonts w:ascii="Times New Roman" w:hAnsi="Times New Roman" w:eastAsia="Times New Roman" w:cs="Times New Roman"/>
                <w:sz w:val="19"/>
                <w:szCs w:val="19"/>
              </w:rPr>
            </w:pPr>
            <w:r>
              <w:rPr>
                <w:rFonts w:ascii="Times New Roman" w:hAnsi="Times New Roman" w:eastAsia="Times New Roman" w:cs="Times New Roman"/>
                <w:sz w:val="19"/>
                <w:szCs w:val="19"/>
              </w:rPr>
              <w:t>4</w:t>
            </w:r>
          </w:p>
        </w:tc>
        <w:tc>
          <w:tcPr>
            <w:tcW w:w="3083" w:type="dxa"/>
            <w:vAlign w:val="top"/>
          </w:tcPr>
          <w:p>
            <w:pPr>
              <w:spacing w:before="121" w:line="233" w:lineRule="auto"/>
              <w:ind w:left="124" w:right="252" w:hanging="6"/>
              <w:rPr>
                <w:rFonts w:ascii="宋体" w:hAnsi="宋体" w:eastAsia="宋体" w:cs="宋体"/>
                <w:sz w:val="17"/>
                <w:szCs w:val="17"/>
              </w:rPr>
            </w:pPr>
            <w:r>
              <w:rPr>
                <w:rFonts w:ascii="宋体" w:hAnsi="宋体" w:eastAsia="宋体" w:cs="宋体"/>
                <w:spacing w:val="11"/>
                <w:sz w:val="17"/>
                <w:szCs w:val="17"/>
              </w:rPr>
              <w:t>企业和企业主要负责人</w:t>
            </w:r>
            <w:r>
              <w:rPr>
                <w:rFonts w:ascii="Times New Roman" w:hAnsi="Times New Roman" w:eastAsia="Times New Roman" w:cs="Times New Roman"/>
                <w:spacing w:val="11"/>
                <w:sz w:val="17"/>
                <w:szCs w:val="17"/>
              </w:rPr>
              <w:t>“</w:t>
            </w:r>
            <w:r>
              <w:rPr>
                <w:rFonts w:ascii="宋体" w:hAnsi="宋体" w:eastAsia="宋体" w:cs="宋体"/>
                <w:spacing w:val="11"/>
                <w:sz w:val="17"/>
                <w:szCs w:val="17"/>
              </w:rPr>
              <w:t>一案双罚</w:t>
            </w:r>
            <w:r>
              <w:rPr>
                <w:rFonts w:ascii="Times New Roman" w:hAnsi="Times New Roman" w:eastAsia="Times New Roman" w:cs="Times New Roman"/>
                <w:spacing w:val="10"/>
                <w:sz w:val="17"/>
                <w:szCs w:val="17"/>
              </w:rPr>
              <w:t>”</w:t>
            </w:r>
            <w:r>
              <w:rPr>
                <w:rFonts w:ascii="Times New Roman" w:hAnsi="Times New Roman" w:eastAsia="Times New Roman" w:cs="Times New Roman"/>
                <w:sz w:val="17"/>
                <w:szCs w:val="17"/>
              </w:rPr>
              <w:t xml:space="preserve"> </w:t>
            </w:r>
            <w:r>
              <w:rPr>
                <w:rFonts w:ascii="宋体" w:hAnsi="宋体" w:eastAsia="宋体" w:cs="宋体"/>
                <w:spacing w:val="30"/>
                <w:sz w:val="17"/>
                <w:szCs w:val="17"/>
              </w:rPr>
              <w:t>(</w:t>
            </w:r>
            <w:r>
              <w:rPr>
                <w:rFonts w:ascii="宋体" w:hAnsi="宋体" w:eastAsia="宋体" w:cs="宋体"/>
                <w:spacing w:val="29"/>
                <w:sz w:val="17"/>
                <w:szCs w:val="17"/>
              </w:rPr>
              <w:t>次)</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09" w:type="dxa"/>
            <w:vMerge w:val="continue"/>
            <w:tcBorders>
              <w:top w:val="nil"/>
              <w:left w:val="single" w:color="000000" w:sz="6" w:space="0"/>
              <w:bottom w:val="nil"/>
            </w:tcBorders>
            <w:vAlign w:val="top"/>
          </w:tcPr>
          <w:p>
            <w:pPr>
              <w:rPr>
                <w:rFonts w:ascii="Arial"/>
                <w:sz w:val="21"/>
              </w:rPr>
            </w:pPr>
          </w:p>
        </w:tc>
        <w:tc>
          <w:tcPr>
            <w:tcW w:w="423" w:type="dxa"/>
            <w:vAlign w:val="top"/>
          </w:tcPr>
          <w:p>
            <w:pPr>
              <w:spacing w:before="182" w:line="192" w:lineRule="auto"/>
              <w:ind w:left="166"/>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2737" w:type="dxa"/>
            <w:vAlign w:val="top"/>
          </w:tcPr>
          <w:p>
            <w:pPr>
              <w:spacing w:before="154" w:line="230" w:lineRule="auto"/>
              <w:ind w:left="107"/>
              <w:rPr>
                <w:rFonts w:ascii="宋体" w:hAnsi="宋体" w:eastAsia="宋体" w:cs="宋体"/>
                <w:sz w:val="17"/>
                <w:szCs w:val="17"/>
              </w:rPr>
            </w:pPr>
            <w:r>
              <w:rPr>
                <w:rFonts w:ascii="宋体" w:hAnsi="宋体" w:eastAsia="宋体" w:cs="宋体"/>
                <w:spacing w:val="9"/>
                <w:sz w:val="17"/>
                <w:szCs w:val="17"/>
              </w:rPr>
              <w:t>移</w:t>
            </w:r>
            <w:r>
              <w:rPr>
                <w:rFonts w:ascii="宋体" w:hAnsi="宋体" w:eastAsia="宋体" w:cs="宋体"/>
                <w:spacing w:val="7"/>
                <w:sz w:val="17"/>
                <w:szCs w:val="17"/>
              </w:rPr>
              <w:t>送司法机关 (人)</w:t>
            </w:r>
          </w:p>
        </w:tc>
        <w:tc>
          <w:tcPr>
            <w:tcW w:w="564" w:type="dxa"/>
            <w:vAlign w:val="top"/>
          </w:tcPr>
          <w:p>
            <w:pPr>
              <w:rPr>
                <w:rFonts w:ascii="Arial"/>
                <w:sz w:val="21"/>
              </w:rPr>
            </w:pPr>
          </w:p>
        </w:tc>
        <w:tc>
          <w:tcPr>
            <w:tcW w:w="552" w:type="dxa"/>
            <w:vAlign w:val="top"/>
          </w:tcPr>
          <w:p>
            <w:pPr>
              <w:spacing w:before="179" w:line="195" w:lineRule="auto"/>
              <w:ind w:left="235"/>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083" w:type="dxa"/>
            <w:vAlign w:val="top"/>
          </w:tcPr>
          <w:p>
            <w:pPr>
              <w:spacing w:before="154" w:line="230" w:lineRule="auto"/>
              <w:ind w:left="121"/>
              <w:rPr>
                <w:rFonts w:ascii="宋体" w:hAnsi="宋体" w:eastAsia="宋体" w:cs="宋体"/>
                <w:sz w:val="17"/>
                <w:szCs w:val="17"/>
              </w:rPr>
            </w:pPr>
            <w:r>
              <w:rPr>
                <w:rFonts w:ascii="宋体" w:hAnsi="宋体" w:eastAsia="宋体" w:cs="宋体"/>
                <w:spacing w:val="12"/>
                <w:sz w:val="17"/>
                <w:szCs w:val="17"/>
              </w:rPr>
              <w:t>责</w:t>
            </w:r>
            <w:r>
              <w:rPr>
                <w:rFonts w:ascii="宋体" w:hAnsi="宋体" w:eastAsia="宋体" w:cs="宋体"/>
                <w:spacing w:val="6"/>
                <w:sz w:val="17"/>
                <w:szCs w:val="17"/>
              </w:rPr>
              <w:t>令停产整顿 (家)</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09" w:type="dxa"/>
            <w:vMerge w:val="continue"/>
            <w:tcBorders>
              <w:top w:val="nil"/>
              <w:left w:val="single" w:color="000000" w:sz="6" w:space="0"/>
              <w:bottom w:val="nil"/>
            </w:tcBorders>
            <w:vAlign w:val="top"/>
          </w:tcPr>
          <w:p>
            <w:pPr>
              <w:rPr>
                <w:rFonts w:ascii="Arial"/>
                <w:sz w:val="21"/>
              </w:rPr>
            </w:pPr>
          </w:p>
        </w:tc>
        <w:tc>
          <w:tcPr>
            <w:tcW w:w="423" w:type="dxa"/>
            <w:vAlign w:val="top"/>
          </w:tcPr>
          <w:p>
            <w:pPr>
              <w:spacing w:before="251" w:line="192" w:lineRule="auto"/>
              <w:ind w:left="164"/>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2737" w:type="dxa"/>
            <w:vAlign w:val="top"/>
          </w:tcPr>
          <w:p>
            <w:pPr>
              <w:spacing w:before="223" w:line="231" w:lineRule="auto"/>
              <w:ind w:left="114"/>
              <w:rPr>
                <w:rFonts w:ascii="宋体" w:hAnsi="宋体" w:eastAsia="宋体" w:cs="宋体"/>
                <w:sz w:val="17"/>
                <w:szCs w:val="17"/>
              </w:rPr>
            </w:pPr>
            <w:r>
              <w:rPr>
                <w:rFonts w:ascii="宋体" w:hAnsi="宋体" w:eastAsia="宋体" w:cs="宋体"/>
                <w:spacing w:val="4"/>
                <w:sz w:val="17"/>
                <w:szCs w:val="17"/>
              </w:rPr>
              <w:t>曝光、约</w:t>
            </w:r>
            <w:r>
              <w:rPr>
                <w:rFonts w:ascii="宋体" w:hAnsi="宋体" w:eastAsia="宋体" w:cs="宋体"/>
                <w:spacing w:val="3"/>
                <w:sz w:val="17"/>
                <w:szCs w:val="17"/>
              </w:rPr>
              <w:t>谈</w:t>
            </w:r>
            <w:r>
              <w:rPr>
                <w:rFonts w:ascii="宋体" w:hAnsi="宋体" w:eastAsia="宋体" w:cs="宋体"/>
                <w:spacing w:val="2"/>
                <w:sz w:val="17"/>
                <w:szCs w:val="17"/>
              </w:rPr>
              <w:t>、联合惩戒企业 (家)</w:t>
            </w:r>
          </w:p>
        </w:tc>
        <w:tc>
          <w:tcPr>
            <w:tcW w:w="564" w:type="dxa"/>
            <w:vAlign w:val="top"/>
          </w:tcPr>
          <w:p>
            <w:pPr>
              <w:rPr>
                <w:rFonts w:ascii="Arial"/>
                <w:sz w:val="21"/>
              </w:rPr>
            </w:pPr>
          </w:p>
        </w:tc>
        <w:tc>
          <w:tcPr>
            <w:tcW w:w="552" w:type="dxa"/>
            <w:vAlign w:val="top"/>
          </w:tcPr>
          <w:p>
            <w:pPr>
              <w:spacing w:before="248" w:line="195" w:lineRule="auto"/>
              <w:ind w:left="238"/>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3083" w:type="dxa"/>
            <w:vAlign w:val="top"/>
          </w:tcPr>
          <w:p>
            <w:pPr>
              <w:spacing w:before="123" w:line="235" w:lineRule="auto"/>
              <w:ind w:left="116" w:right="99" w:firstLine="4"/>
              <w:rPr>
                <w:rFonts w:ascii="宋体" w:hAnsi="宋体" w:eastAsia="宋体" w:cs="宋体"/>
                <w:sz w:val="17"/>
                <w:szCs w:val="17"/>
              </w:rPr>
            </w:pPr>
            <w:r>
              <w:rPr>
                <w:rFonts w:ascii="宋体" w:hAnsi="宋体" w:eastAsia="宋体" w:cs="宋体"/>
                <w:spacing w:val="14"/>
                <w:sz w:val="17"/>
                <w:szCs w:val="17"/>
              </w:rPr>
              <w:t>公</w:t>
            </w:r>
            <w:r>
              <w:rPr>
                <w:rFonts w:ascii="宋体" w:hAnsi="宋体" w:eastAsia="宋体" w:cs="宋体"/>
                <w:spacing w:val="11"/>
                <w:sz w:val="17"/>
                <w:szCs w:val="17"/>
              </w:rPr>
              <w:t>布</w:t>
            </w:r>
            <w:r>
              <w:rPr>
                <w:rFonts w:ascii="宋体" w:hAnsi="宋体" w:eastAsia="宋体" w:cs="宋体"/>
                <w:spacing w:val="7"/>
                <w:sz w:val="17"/>
                <w:szCs w:val="17"/>
              </w:rPr>
              <w:t>典型执法案例 (个) ，其中危险</w:t>
            </w:r>
            <w:r>
              <w:rPr>
                <w:rFonts w:ascii="宋体" w:hAnsi="宋体" w:eastAsia="宋体" w:cs="宋体"/>
                <w:sz w:val="17"/>
                <w:szCs w:val="17"/>
              </w:rPr>
              <w:t xml:space="preserve"> </w:t>
            </w:r>
            <w:r>
              <w:rPr>
                <w:rFonts w:ascii="宋体" w:hAnsi="宋体" w:eastAsia="宋体" w:cs="宋体"/>
                <w:spacing w:val="7"/>
                <w:sz w:val="17"/>
                <w:szCs w:val="17"/>
              </w:rPr>
              <w:t>作业罪案例 (个</w:t>
            </w:r>
            <w:r>
              <w:rPr>
                <w:rFonts w:ascii="宋体" w:hAnsi="宋体" w:eastAsia="宋体" w:cs="宋体"/>
                <w:spacing w:val="6"/>
                <w:sz w:val="17"/>
                <w:szCs w:val="17"/>
              </w:rPr>
              <w:t>)</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09" w:type="dxa"/>
            <w:vMerge w:val="continue"/>
            <w:tcBorders>
              <w:top w:val="nil"/>
              <w:left w:val="single" w:color="000000" w:sz="6" w:space="0"/>
            </w:tcBorders>
            <w:vAlign w:val="top"/>
          </w:tcPr>
          <w:p>
            <w:pPr>
              <w:rPr>
                <w:rFonts w:ascii="Arial"/>
                <w:sz w:val="21"/>
              </w:rPr>
            </w:pPr>
          </w:p>
        </w:tc>
        <w:tc>
          <w:tcPr>
            <w:tcW w:w="423" w:type="dxa"/>
            <w:vAlign w:val="top"/>
          </w:tcPr>
          <w:p>
            <w:pPr>
              <w:spacing w:before="193" w:line="195" w:lineRule="auto"/>
              <w:ind w:left="164"/>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2737" w:type="dxa"/>
            <w:vAlign w:val="top"/>
          </w:tcPr>
          <w:p>
            <w:pPr>
              <w:spacing w:before="168" w:line="231" w:lineRule="auto"/>
              <w:ind w:left="113"/>
              <w:rPr>
                <w:rFonts w:ascii="宋体" w:hAnsi="宋体" w:eastAsia="宋体" w:cs="宋体"/>
                <w:sz w:val="17"/>
                <w:szCs w:val="17"/>
              </w:rPr>
            </w:pPr>
            <w:r>
              <w:rPr>
                <w:rFonts w:ascii="宋体" w:hAnsi="宋体" w:eastAsia="宋体" w:cs="宋体"/>
                <w:spacing w:val="9"/>
                <w:sz w:val="17"/>
                <w:szCs w:val="17"/>
              </w:rPr>
              <w:t>责</w:t>
            </w:r>
            <w:r>
              <w:rPr>
                <w:rFonts w:ascii="宋体" w:hAnsi="宋体" w:eastAsia="宋体" w:cs="宋体"/>
                <w:spacing w:val="7"/>
                <w:sz w:val="17"/>
                <w:szCs w:val="17"/>
              </w:rPr>
              <w:t>任倒查追责问责 (人)</w:t>
            </w:r>
          </w:p>
        </w:tc>
        <w:tc>
          <w:tcPr>
            <w:tcW w:w="564" w:type="dxa"/>
            <w:vAlign w:val="top"/>
          </w:tcPr>
          <w:p>
            <w:pPr>
              <w:rPr>
                <w:rFonts w:ascii="Arial"/>
                <w:sz w:val="21"/>
              </w:rPr>
            </w:pPr>
          </w:p>
        </w:tc>
        <w:tc>
          <w:tcPr>
            <w:tcW w:w="552" w:type="dxa"/>
            <w:vAlign w:val="top"/>
          </w:tcPr>
          <w:p>
            <w:pPr>
              <w:spacing w:before="193" w:line="195" w:lineRule="auto"/>
              <w:ind w:left="205"/>
              <w:rPr>
                <w:rFonts w:ascii="Times New Roman" w:hAnsi="Times New Roman" w:eastAsia="Times New Roman" w:cs="Times New Roman"/>
                <w:sz w:val="19"/>
                <w:szCs w:val="19"/>
              </w:rPr>
            </w:pPr>
            <w:r>
              <w:rPr>
                <w:rFonts w:ascii="Times New Roman" w:hAnsi="Times New Roman" w:eastAsia="Times New Roman" w:cs="Times New Roman"/>
                <w:spacing w:val="-16"/>
                <w:sz w:val="19"/>
                <w:szCs w:val="19"/>
              </w:rPr>
              <w:t>1</w:t>
            </w:r>
            <w:r>
              <w:rPr>
                <w:rFonts w:ascii="Times New Roman" w:hAnsi="Times New Roman" w:eastAsia="Times New Roman" w:cs="Times New Roman"/>
                <w:spacing w:val="-14"/>
                <w:sz w:val="19"/>
                <w:szCs w:val="19"/>
              </w:rPr>
              <w:t>0</w:t>
            </w:r>
          </w:p>
        </w:tc>
        <w:tc>
          <w:tcPr>
            <w:tcW w:w="3083" w:type="dxa"/>
            <w:vAlign w:val="top"/>
          </w:tcPr>
          <w:p>
            <w:pPr>
              <w:spacing w:before="168" w:line="231" w:lineRule="auto"/>
              <w:ind w:left="119"/>
              <w:rPr>
                <w:rFonts w:ascii="宋体" w:hAnsi="宋体" w:eastAsia="宋体" w:cs="宋体"/>
                <w:sz w:val="17"/>
                <w:szCs w:val="17"/>
              </w:rPr>
            </w:pPr>
            <w:r>
              <w:rPr>
                <w:rFonts w:ascii="宋体" w:hAnsi="宋体" w:eastAsia="宋体" w:cs="宋体"/>
                <w:spacing w:val="8"/>
                <w:sz w:val="17"/>
                <w:szCs w:val="17"/>
              </w:rPr>
              <w:t>约谈通报有关地区及部门 (次</w:t>
            </w:r>
            <w:r>
              <w:rPr>
                <w:rFonts w:ascii="宋体" w:hAnsi="宋体" w:eastAsia="宋体" w:cs="宋体"/>
                <w:spacing w:val="6"/>
                <w:sz w:val="17"/>
                <w:szCs w:val="17"/>
              </w:rPr>
              <w:t>)</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09" w:type="dxa"/>
            <w:vMerge w:val="restart"/>
            <w:tcBorders>
              <w:left w:val="single" w:color="000000" w:sz="6" w:space="0"/>
              <w:bottom w:val="nil"/>
            </w:tcBorders>
            <w:vAlign w:val="top"/>
          </w:tcPr>
          <w:p>
            <w:pPr>
              <w:spacing w:line="440" w:lineRule="auto"/>
              <w:rPr>
                <w:rFonts w:ascii="Arial"/>
                <w:sz w:val="21"/>
              </w:rPr>
            </w:pPr>
          </w:p>
          <w:p>
            <w:pPr>
              <w:spacing w:before="80" w:line="224" w:lineRule="auto"/>
              <w:ind w:left="337"/>
              <w:rPr>
                <w:rFonts w:ascii="方正黑体_GBK" w:hAnsi="方正黑体_GBK" w:eastAsia="方正黑体_GBK" w:cs="方正黑体_GBK"/>
                <w:sz w:val="22"/>
                <w:szCs w:val="22"/>
              </w:rPr>
            </w:pPr>
            <w:r>
              <w:rPr>
                <w:rFonts w:ascii="方正黑体_GBK" w:hAnsi="方正黑体_GBK" w:eastAsia="方正黑体_GBK" w:cs="方正黑体_GBK"/>
                <w:spacing w:val="-7"/>
                <w:sz w:val="22"/>
                <w:szCs w:val="22"/>
              </w:rPr>
              <w:t>党</w:t>
            </w:r>
            <w:r>
              <w:rPr>
                <w:rFonts w:ascii="方正黑体_GBK" w:hAnsi="方正黑体_GBK" w:eastAsia="方正黑体_GBK" w:cs="方正黑体_GBK"/>
                <w:spacing w:val="-6"/>
                <w:sz w:val="22"/>
                <w:szCs w:val="22"/>
              </w:rPr>
              <w:t>委</w:t>
            </w:r>
          </w:p>
          <w:p>
            <w:pPr>
              <w:spacing w:before="1" w:line="223" w:lineRule="auto"/>
              <w:ind w:left="331"/>
              <w:rPr>
                <w:rFonts w:ascii="方正黑体_GBK" w:hAnsi="方正黑体_GBK" w:eastAsia="方正黑体_GBK" w:cs="方正黑体_GBK"/>
                <w:sz w:val="22"/>
                <w:szCs w:val="22"/>
              </w:rPr>
            </w:pPr>
            <w:r>
              <w:rPr>
                <w:rFonts w:ascii="方正黑体_GBK" w:hAnsi="方正黑体_GBK" w:eastAsia="方正黑体_GBK" w:cs="方正黑体_GBK"/>
                <w:spacing w:val="-3"/>
                <w:sz w:val="22"/>
                <w:szCs w:val="22"/>
              </w:rPr>
              <w:t>政府</w:t>
            </w:r>
          </w:p>
          <w:p>
            <w:pPr>
              <w:spacing w:before="1" w:line="223" w:lineRule="auto"/>
              <w:ind w:left="335"/>
              <w:rPr>
                <w:rFonts w:ascii="方正黑体_GBK" w:hAnsi="方正黑体_GBK" w:eastAsia="方正黑体_GBK" w:cs="方正黑体_GBK"/>
                <w:sz w:val="22"/>
                <w:szCs w:val="22"/>
              </w:rPr>
            </w:pPr>
            <w:r>
              <w:rPr>
                <w:rFonts w:ascii="方正黑体_GBK" w:hAnsi="方正黑体_GBK" w:eastAsia="方正黑体_GBK" w:cs="方正黑体_GBK"/>
                <w:spacing w:val="-6"/>
                <w:sz w:val="22"/>
                <w:szCs w:val="22"/>
              </w:rPr>
              <w:t>组</w:t>
            </w:r>
            <w:r>
              <w:rPr>
                <w:rFonts w:ascii="方正黑体_GBK" w:hAnsi="方正黑体_GBK" w:eastAsia="方正黑体_GBK" w:cs="方正黑体_GBK"/>
                <w:spacing w:val="-5"/>
                <w:sz w:val="22"/>
                <w:szCs w:val="22"/>
              </w:rPr>
              <w:t>织</w:t>
            </w:r>
          </w:p>
          <w:p>
            <w:pPr>
              <w:spacing w:before="1" w:line="223" w:lineRule="auto"/>
              <w:ind w:left="327"/>
              <w:rPr>
                <w:rFonts w:ascii="方正黑体_GBK" w:hAnsi="方正黑体_GBK" w:eastAsia="方正黑体_GBK" w:cs="方正黑体_GBK"/>
                <w:sz w:val="22"/>
                <w:szCs w:val="22"/>
              </w:rPr>
            </w:pPr>
            <w:r>
              <w:rPr>
                <w:rFonts w:ascii="方正黑体_GBK" w:hAnsi="方正黑体_GBK" w:eastAsia="方正黑体_GBK" w:cs="方正黑体_GBK"/>
                <w:spacing w:val="-1"/>
                <w:sz w:val="22"/>
                <w:szCs w:val="22"/>
              </w:rPr>
              <w:t>领导</w:t>
            </w:r>
          </w:p>
          <w:p>
            <w:pPr>
              <w:spacing w:before="1" w:line="232" w:lineRule="auto"/>
              <w:ind w:left="33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情</w:t>
            </w:r>
            <w:r>
              <w:rPr>
                <w:rFonts w:ascii="方正黑体_GBK" w:hAnsi="方正黑体_GBK" w:eastAsia="方正黑体_GBK" w:cs="方正黑体_GBK"/>
                <w:spacing w:val="-2"/>
                <w:sz w:val="22"/>
                <w:szCs w:val="22"/>
              </w:rPr>
              <w:t>况</w:t>
            </w:r>
          </w:p>
        </w:tc>
        <w:tc>
          <w:tcPr>
            <w:tcW w:w="423" w:type="dxa"/>
            <w:vAlign w:val="top"/>
          </w:tcPr>
          <w:p>
            <w:pPr>
              <w:spacing w:before="247" w:line="195" w:lineRule="auto"/>
              <w:ind w:left="17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737" w:type="dxa"/>
            <w:vAlign w:val="top"/>
          </w:tcPr>
          <w:p>
            <w:pPr>
              <w:spacing w:before="123" w:line="233" w:lineRule="auto"/>
              <w:ind w:left="107" w:right="112"/>
              <w:rPr>
                <w:rFonts w:ascii="宋体" w:hAnsi="宋体" w:eastAsia="宋体" w:cs="宋体"/>
                <w:sz w:val="17"/>
                <w:szCs w:val="17"/>
              </w:rPr>
            </w:pPr>
            <w:r>
              <w:rPr>
                <w:rFonts w:ascii="宋体" w:hAnsi="宋体" w:eastAsia="宋体" w:cs="宋体"/>
                <w:spacing w:val="15"/>
                <w:sz w:val="17"/>
                <w:szCs w:val="17"/>
              </w:rPr>
              <w:t>党</w:t>
            </w:r>
            <w:r>
              <w:rPr>
                <w:rFonts w:ascii="宋体" w:hAnsi="宋体" w:eastAsia="宋体" w:cs="宋体"/>
                <w:spacing w:val="9"/>
                <w:sz w:val="17"/>
                <w:szCs w:val="17"/>
              </w:rPr>
              <w:t>委政府组织专题学习安全生产</w:t>
            </w:r>
            <w:r>
              <w:rPr>
                <w:rFonts w:ascii="宋体" w:hAnsi="宋体" w:eastAsia="宋体" w:cs="宋体"/>
                <w:sz w:val="17"/>
                <w:szCs w:val="17"/>
              </w:rPr>
              <w:t xml:space="preserve"> </w:t>
            </w:r>
            <w:r>
              <w:rPr>
                <w:rFonts w:ascii="宋体" w:hAnsi="宋体" w:eastAsia="宋体" w:cs="宋体"/>
                <w:spacing w:val="9"/>
                <w:sz w:val="17"/>
                <w:szCs w:val="17"/>
              </w:rPr>
              <w:t>十</w:t>
            </w:r>
            <w:r>
              <w:rPr>
                <w:rFonts w:ascii="宋体" w:hAnsi="宋体" w:eastAsia="宋体" w:cs="宋体"/>
                <w:spacing w:val="7"/>
                <w:sz w:val="17"/>
                <w:szCs w:val="17"/>
              </w:rPr>
              <w:t>五条硬措施 (次)</w:t>
            </w:r>
          </w:p>
        </w:tc>
        <w:tc>
          <w:tcPr>
            <w:tcW w:w="564" w:type="dxa"/>
            <w:vAlign w:val="top"/>
          </w:tcPr>
          <w:p>
            <w:pPr>
              <w:rPr>
                <w:rFonts w:ascii="Arial"/>
                <w:sz w:val="21"/>
              </w:rPr>
            </w:pPr>
          </w:p>
        </w:tc>
        <w:tc>
          <w:tcPr>
            <w:tcW w:w="552" w:type="dxa"/>
            <w:vAlign w:val="top"/>
          </w:tcPr>
          <w:p>
            <w:pPr>
              <w:spacing w:before="247" w:line="195" w:lineRule="auto"/>
              <w:ind w:left="231"/>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083" w:type="dxa"/>
            <w:vAlign w:val="top"/>
          </w:tcPr>
          <w:p>
            <w:pPr>
              <w:spacing w:before="123" w:line="233" w:lineRule="auto"/>
              <w:ind w:left="125" w:right="449" w:hanging="9"/>
              <w:rPr>
                <w:rFonts w:ascii="宋体" w:hAnsi="宋体" w:eastAsia="宋体" w:cs="宋体"/>
                <w:sz w:val="17"/>
                <w:szCs w:val="17"/>
              </w:rPr>
            </w:pPr>
            <w:r>
              <w:rPr>
                <w:rFonts w:ascii="宋体" w:hAnsi="宋体" w:eastAsia="宋体" w:cs="宋体"/>
                <w:spacing w:val="15"/>
                <w:sz w:val="17"/>
                <w:szCs w:val="17"/>
              </w:rPr>
              <w:t>党</w:t>
            </w:r>
            <w:r>
              <w:rPr>
                <w:rFonts w:ascii="宋体" w:hAnsi="宋体" w:eastAsia="宋体" w:cs="宋体"/>
                <w:spacing w:val="9"/>
                <w:sz w:val="17"/>
                <w:szCs w:val="17"/>
              </w:rPr>
              <w:t>委政府主要负责同志专题研究</w:t>
            </w:r>
            <w:r>
              <w:rPr>
                <w:rFonts w:ascii="宋体" w:hAnsi="宋体" w:eastAsia="宋体" w:cs="宋体"/>
                <w:sz w:val="17"/>
                <w:szCs w:val="17"/>
              </w:rPr>
              <w:t xml:space="preserve"> </w:t>
            </w:r>
            <w:r>
              <w:rPr>
                <w:rFonts w:ascii="宋体" w:hAnsi="宋体" w:eastAsia="宋体" w:cs="宋体"/>
                <w:spacing w:val="30"/>
                <w:sz w:val="17"/>
                <w:szCs w:val="17"/>
              </w:rPr>
              <w:t>(</w:t>
            </w:r>
            <w:r>
              <w:rPr>
                <w:rFonts w:ascii="宋体" w:hAnsi="宋体" w:eastAsia="宋体" w:cs="宋体"/>
                <w:spacing w:val="29"/>
                <w:sz w:val="17"/>
                <w:szCs w:val="17"/>
              </w:rPr>
              <w:t>次)</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09" w:type="dxa"/>
            <w:vMerge w:val="continue"/>
            <w:tcBorders>
              <w:top w:val="nil"/>
              <w:left w:val="single" w:color="000000" w:sz="6" w:space="0"/>
              <w:bottom w:val="nil"/>
            </w:tcBorders>
            <w:vAlign w:val="top"/>
          </w:tcPr>
          <w:p>
            <w:pPr>
              <w:rPr>
                <w:rFonts w:ascii="Arial"/>
                <w:sz w:val="21"/>
              </w:rPr>
            </w:pPr>
          </w:p>
        </w:tc>
        <w:tc>
          <w:tcPr>
            <w:tcW w:w="423" w:type="dxa"/>
            <w:vAlign w:val="top"/>
          </w:tcPr>
          <w:p>
            <w:pPr>
              <w:spacing w:before="254" w:line="195" w:lineRule="auto"/>
              <w:ind w:left="165"/>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2737" w:type="dxa"/>
            <w:vAlign w:val="top"/>
          </w:tcPr>
          <w:p>
            <w:pPr>
              <w:spacing w:before="229" w:line="230" w:lineRule="auto"/>
              <w:ind w:left="106"/>
              <w:rPr>
                <w:rFonts w:ascii="宋体" w:hAnsi="宋体" w:eastAsia="宋体" w:cs="宋体"/>
                <w:sz w:val="17"/>
                <w:szCs w:val="17"/>
              </w:rPr>
            </w:pPr>
            <w:r>
              <w:rPr>
                <w:rFonts w:ascii="宋体" w:hAnsi="宋体" w:eastAsia="宋体" w:cs="宋体"/>
                <w:spacing w:val="9"/>
                <w:sz w:val="17"/>
                <w:szCs w:val="17"/>
              </w:rPr>
              <w:t>政府负责同志现场督导检查(次</w:t>
            </w:r>
            <w:r>
              <w:rPr>
                <w:rFonts w:ascii="宋体" w:hAnsi="宋体" w:eastAsia="宋体" w:cs="宋体"/>
                <w:spacing w:val="8"/>
                <w:sz w:val="17"/>
                <w:szCs w:val="17"/>
              </w:rPr>
              <w:t>)</w:t>
            </w:r>
          </w:p>
        </w:tc>
        <w:tc>
          <w:tcPr>
            <w:tcW w:w="564" w:type="dxa"/>
            <w:vAlign w:val="top"/>
          </w:tcPr>
          <w:p>
            <w:pPr>
              <w:rPr>
                <w:rFonts w:ascii="Arial"/>
                <w:sz w:val="21"/>
              </w:rPr>
            </w:pPr>
          </w:p>
        </w:tc>
        <w:tc>
          <w:tcPr>
            <w:tcW w:w="552" w:type="dxa"/>
            <w:vAlign w:val="top"/>
          </w:tcPr>
          <w:p>
            <w:pPr>
              <w:spacing w:before="254" w:line="195" w:lineRule="auto"/>
              <w:ind w:left="231"/>
              <w:rPr>
                <w:rFonts w:ascii="Times New Roman" w:hAnsi="Times New Roman" w:eastAsia="Times New Roman" w:cs="Times New Roman"/>
                <w:sz w:val="19"/>
                <w:szCs w:val="19"/>
              </w:rPr>
            </w:pPr>
            <w:r>
              <w:rPr>
                <w:rFonts w:ascii="Times New Roman" w:hAnsi="Times New Roman" w:eastAsia="Times New Roman" w:cs="Times New Roman"/>
                <w:sz w:val="19"/>
                <w:szCs w:val="19"/>
              </w:rPr>
              <w:t>4</w:t>
            </w:r>
          </w:p>
        </w:tc>
        <w:tc>
          <w:tcPr>
            <w:tcW w:w="3083" w:type="dxa"/>
            <w:vAlign w:val="top"/>
          </w:tcPr>
          <w:p>
            <w:pPr>
              <w:spacing w:before="127" w:line="233" w:lineRule="auto"/>
              <w:ind w:left="115" w:right="269" w:firstLine="3"/>
              <w:rPr>
                <w:rFonts w:ascii="宋体" w:hAnsi="宋体" w:eastAsia="宋体" w:cs="宋体"/>
                <w:sz w:val="17"/>
                <w:szCs w:val="17"/>
              </w:rPr>
            </w:pPr>
            <w:r>
              <w:rPr>
                <w:rFonts w:ascii="宋体" w:hAnsi="宋体" w:eastAsia="宋体" w:cs="宋体"/>
                <w:spacing w:val="13"/>
                <w:sz w:val="17"/>
                <w:szCs w:val="17"/>
              </w:rPr>
              <w:t>安</w:t>
            </w:r>
            <w:r>
              <w:rPr>
                <w:rFonts w:ascii="宋体" w:hAnsi="宋体" w:eastAsia="宋体" w:cs="宋体"/>
                <w:spacing w:val="9"/>
                <w:sz w:val="17"/>
                <w:szCs w:val="17"/>
              </w:rPr>
              <w:t>委会成员单位负责同志到企业宣</w:t>
            </w:r>
            <w:r>
              <w:rPr>
                <w:rFonts w:ascii="宋体" w:hAnsi="宋体" w:eastAsia="宋体" w:cs="宋体"/>
                <w:sz w:val="17"/>
                <w:szCs w:val="17"/>
              </w:rPr>
              <w:t xml:space="preserve"> </w:t>
            </w:r>
            <w:r>
              <w:rPr>
                <w:rFonts w:ascii="宋体" w:hAnsi="宋体" w:eastAsia="宋体" w:cs="宋体"/>
                <w:spacing w:val="6"/>
                <w:sz w:val="17"/>
                <w:szCs w:val="17"/>
              </w:rPr>
              <w:t>讲</w:t>
            </w:r>
            <w:r>
              <w:rPr>
                <w:rFonts w:ascii="宋体" w:hAnsi="宋体" w:eastAsia="宋体" w:cs="宋体"/>
                <w:spacing w:val="4"/>
                <w:sz w:val="17"/>
                <w:szCs w:val="17"/>
              </w:rPr>
              <w:t xml:space="preserve"> (次)</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09" w:type="dxa"/>
            <w:vMerge w:val="continue"/>
            <w:tcBorders>
              <w:top w:val="nil"/>
              <w:left w:val="single" w:color="000000" w:sz="6" w:space="0"/>
              <w:bottom w:val="nil"/>
            </w:tcBorders>
            <w:vAlign w:val="top"/>
          </w:tcPr>
          <w:p>
            <w:pPr>
              <w:rPr>
                <w:rFonts w:ascii="Arial"/>
                <w:sz w:val="21"/>
              </w:rPr>
            </w:pPr>
          </w:p>
        </w:tc>
        <w:tc>
          <w:tcPr>
            <w:tcW w:w="423" w:type="dxa"/>
            <w:vAlign w:val="top"/>
          </w:tcPr>
          <w:p>
            <w:pPr>
              <w:spacing w:before="257" w:line="192" w:lineRule="auto"/>
              <w:ind w:left="166"/>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2737" w:type="dxa"/>
            <w:vAlign w:val="top"/>
          </w:tcPr>
          <w:p>
            <w:pPr>
              <w:spacing w:before="127" w:line="233" w:lineRule="auto"/>
              <w:ind w:left="105" w:right="112" w:firstLine="1"/>
              <w:rPr>
                <w:rFonts w:ascii="宋体" w:hAnsi="宋体" w:eastAsia="宋体" w:cs="宋体"/>
                <w:sz w:val="17"/>
                <w:szCs w:val="17"/>
              </w:rPr>
            </w:pPr>
            <w:r>
              <w:rPr>
                <w:rFonts w:ascii="宋体" w:hAnsi="宋体" w:eastAsia="宋体" w:cs="宋体"/>
                <w:spacing w:val="12"/>
                <w:sz w:val="17"/>
                <w:szCs w:val="17"/>
              </w:rPr>
              <w:t>举</w:t>
            </w:r>
            <w:r>
              <w:rPr>
                <w:rFonts w:ascii="宋体" w:hAnsi="宋体" w:eastAsia="宋体" w:cs="宋体"/>
                <w:spacing w:val="8"/>
                <w:sz w:val="17"/>
                <w:szCs w:val="17"/>
              </w:rPr>
              <w:t>报奖励 (万元) ，其中匿名举</w:t>
            </w:r>
            <w:r>
              <w:rPr>
                <w:rFonts w:ascii="宋体" w:hAnsi="宋体" w:eastAsia="宋体" w:cs="宋体"/>
                <w:sz w:val="17"/>
                <w:szCs w:val="17"/>
              </w:rPr>
              <w:t xml:space="preserve"> </w:t>
            </w:r>
            <w:r>
              <w:rPr>
                <w:rFonts w:ascii="宋体" w:hAnsi="宋体" w:eastAsia="宋体" w:cs="宋体"/>
                <w:spacing w:val="11"/>
                <w:sz w:val="17"/>
                <w:szCs w:val="17"/>
              </w:rPr>
              <w:t>报</w:t>
            </w:r>
            <w:r>
              <w:rPr>
                <w:rFonts w:ascii="宋体" w:hAnsi="宋体" w:eastAsia="宋体" w:cs="宋体"/>
                <w:spacing w:val="7"/>
                <w:sz w:val="17"/>
                <w:szCs w:val="17"/>
              </w:rPr>
              <w:t>查实奖励 (万元)</w:t>
            </w:r>
          </w:p>
        </w:tc>
        <w:tc>
          <w:tcPr>
            <w:tcW w:w="564" w:type="dxa"/>
            <w:vAlign w:val="top"/>
          </w:tcPr>
          <w:p>
            <w:pPr>
              <w:rPr>
                <w:rFonts w:ascii="Arial"/>
                <w:sz w:val="21"/>
              </w:rPr>
            </w:pPr>
          </w:p>
        </w:tc>
        <w:tc>
          <w:tcPr>
            <w:tcW w:w="552" w:type="dxa"/>
            <w:vAlign w:val="top"/>
          </w:tcPr>
          <w:p>
            <w:pPr>
              <w:spacing w:before="254" w:line="195" w:lineRule="auto"/>
              <w:ind w:left="235"/>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083" w:type="dxa"/>
            <w:vAlign w:val="top"/>
          </w:tcPr>
          <w:p>
            <w:pPr>
              <w:spacing w:before="128" w:line="233" w:lineRule="auto"/>
              <w:ind w:left="115" w:right="269" w:firstLine="2"/>
              <w:rPr>
                <w:rFonts w:ascii="宋体" w:hAnsi="宋体" w:eastAsia="宋体" w:cs="宋体"/>
                <w:sz w:val="17"/>
                <w:szCs w:val="17"/>
              </w:rPr>
            </w:pPr>
            <w:r>
              <w:rPr>
                <w:rFonts w:ascii="宋体" w:hAnsi="宋体" w:eastAsia="宋体" w:cs="宋体"/>
                <w:spacing w:val="14"/>
                <w:sz w:val="17"/>
                <w:szCs w:val="17"/>
              </w:rPr>
              <w:t>是</w:t>
            </w:r>
            <w:r>
              <w:rPr>
                <w:rFonts w:ascii="宋体" w:hAnsi="宋体" w:eastAsia="宋体" w:cs="宋体"/>
                <w:spacing w:val="9"/>
                <w:sz w:val="17"/>
                <w:szCs w:val="17"/>
              </w:rPr>
              <w:t>否在主流媒体播放安全生产专题</w:t>
            </w:r>
            <w:r>
              <w:rPr>
                <w:rFonts w:ascii="宋体" w:hAnsi="宋体" w:eastAsia="宋体" w:cs="宋体"/>
                <w:sz w:val="17"/>
                <w:szCs w:val="17"/>
              </w:rPr>
              <w:t xml:space="preserve"> </w:t>
            </w:r>
            <w:r>
              <w:rPr>
                <w:rFonts w:ascii="宋体" w:hAnsi="宋体" w:eastAsia="宋体" w:cs="宋体"/>
                <w:spacing w:val="6"/>
                <w:sz w:val="17"/>
                <w:szCs w:val="17"/>
              </w:rPr>
              <w:t>栏目</w:t>
            </w:r>
          </w:p>
        </w:tc>
        <w:tc>
          <w:tcPr>
            <w:tcW w:w="59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vMerge w:val="continue"/>
            <w:tcBorders>
              <w:top w:val="nil"/>
              <w:left w:val="single" w:color="000000" w:sz="6" w:space="0"/>
            </w:tcBorders>
            <w:vAlign w:val="top"/>
          </w:tcPr>
          <w:p>
            <w:pPr>
              <w:rPr>
                <w:rFonts w:ascii="Arial"/>
                <w:sz w:val="21"/>
              </w:rPr>
            </w:pPr>
          </w:p>
        </w:tc>
        <w:tc>
          <w:tcPr>
            <w:tcW w:w="423" w:type="dxa"/>
            <w:vAlign w:val="top"/>
          </w:tcPr>
          <w:p>
            <w:pPr>
              <w:spacing w:before="257" w:line="192" w:lineRule="auto"/>
              <w:ind w:left="164"/>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2737" w:type="dxa"/>
            <w:vAlign w:val="top"/>
          </w:tcPr>
          <w:p>
            <w:pPr>
              <w:spacing w:before="229" w:line="231" w:lineRule="auto"/>
              <w:ind w:left="106"/>
              <w:rPr>
                <w:rFonts w:ascii="宋体" w:hAnsi="宋体" w:eastAsia="宋体" w:cs="宋体"/>
                <w:sz w:val="17"/>
                <w:szCs w:val="17"/>
              </w:rPr>
            </w:pPr>
            <w:r>
              <w:rPr>
                <w:rFonts w:ascii="宋体" w:hAnsi="宋体" w:eastAsia="宋体" w:cs="宋体"/>
                <w:spacing w:val="9"/>
                <w:sz w:val="17"/>
                <w:szCs w:val="17"/>
              </w:rPr>
              <w:t>配备专兼职技术检查员数量(人</w:t>
            </w:r>
            <w:r>
              <w:rPr>
                <w:rFonts w:ascii="宋体" w:hAnsi="宋体" w:eastAsia="宋体" w:cs="宋体"/>
                <w:spacing w:val="7"/>
                <w:sz w:val="17"/>
                <w:szCs w:val="17"/>
              </w:rPr>
              <w:t>)</w:t>
            </w:r>
          </w:p>
        </w:tc>
        <w:tc>
          <w:tcPr>
            <w:tcW w:w="564" w:type="dxa"/>
            <w:vAlign w:val="top"/>
          </w:tcPr>
          <w:p>
            <w:pPr>
              <w:rPr>
                <w:rFonts w:ascii="Arial"/>
                <w:sz w:val="21"/>
              </w:rPr>
            </w:pPr>
          </w:p>
        </w:tc>
        <w:tc>
          <w:tcPr>
            <w:tcW w:w="552" w:type="dxa"/>
            <w:vAlign w:val="top"/>
          </w:tcPr>
          <w:p>
            <w:pPr>
              <w:spacing w:before="254" w:line="195" w:lineRule="auto"/>
              <w:ind w:left="238"/>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3083" w:type="dxa"/>
            <w:vAlign w:val="top"/>
          </w:tcPr>
          <w:p>
            <w:pPr>
              <w:spacing w:before="229" w:line="231" w:lineRule="auto"/>
              <w:ind w:left="117"/>
              <w:rPr>
                <w:rFonts w:ascii="宋体" w:hAnsi="宋体" w:eastAsia="宋体" w:cs="宋体"/>
                <w:sz w:val="17"/>
                <w:szCs w:val="17"/>
              </w:rPr>
            </w:pPr>
            <w:r>
              <w:rPr>
                <w:rFonts w:ascii="宋体" w:hAnsi="宋体" w:eastAsia="宋体" w:cs="宋体"/>
                <w:spacing w:val="10"/>
                <w:sz w:val="17"/>
                <w:szCs w:val="17"/>
              </w:rPr>
              <w:t>组</w:t>
            </w:r>
            <w:r>
              <w:rPr>
                <w:rFonts w:ascii="宋体" w:hAnsi="宋体" w:eastAsia="宋体" w:cs="宋体"/>
                <w:spacing w:val="8"/>
                <w:sz w:val="17"/>
                <w:szCs w:val="17"/>
              </w:rPr>
              <w:t>织开展考核巡查督导检查 (次)</w:t>
            </w:r>
          </w:p>
        </w:tc>
        <w:tc>
          <w:tcPr>
            <w:tcW w:w="596" w:type="dxa"/>
            <w:tcBorders>
              <w:right w:val="single" w:color="000000" w:sz="6" w:space="0"/>
            </w:tcBorders>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楷体" w:hAnsi="楷体" w:eastAsia="楷体" w:cs="楷体"/>
          <w:sz w:val="20"/>
          <w:szCs w:val="20"/>
        </w:rPr>
      </w:pPr>
      <w:r>
        <w:rPr>
          <w:rFonts w:ascii="楷体" w:hAnsi="楷体" w:eastAsia="楷体" w:cs="楷体"/>
          <w:spacing w:val="4"/>
          <w:sz w:val="20"/>
          <w:szCs w:val="20"/>
        </w:rPr>
        <w:t>注：</w:t>
      </w:r>
      <w:r>
        <w:rPr>
          <w:rFonts w:ascii="Times New Roman" w:hAnsi="Times New Roman" w:eastAsia="Times New Roman" w:cs="Times New Roman"/>
          <w:spacing w:val="4"/>
          <w:sz w:val="20"/>
          <w:szCs w:val="20"/>
        </w:rPr>
        <w:t xml:space="preserve">1. </w:t>
      </w:r>
      <w:r>
        <w:rPr>
          <w:rFonts w:hint="eastAsia" w:ascii="楷体" w:hAnsi="楷体" w:eastAsia="楷体" w:cs="楷体"/>
          <w:spacing w:val="4"/>
          <w:sz w:val="20"/>
          <w:szCs w:val="20"/>
          <w:lang w:val="en-US" w:eastAsia="zh-CN"/>
        </w:rPr>
        <w:t>镇</w:t>
      </w:r>
      <w:r>
        <w:rPr>
          <w:rFonts w:ascii="楷体" w:hAnsi="楷体" w:eastAsia="楷体" w:cs="楷体"/>
          <w:spacing w:val="4"/>
          <w:sz w:val="20"/>
          <w:szCs w:val="20"/>
        </w:rPr>
        <w:t>安委办对工</w:t>
      </w:r>
      <w:r>
        <w:rPr>
          <w:rFonts w:ascii="楷体" w:hAnsi="楷体" w:eastAsia="楷体" w:cs="楷体"/>
          <w:spacing w:val="2"/>
          <w:sz w:val="20"/>
          <w:szCs w:val="20"/>
        </w:rPr>
        <w:t>作进展情况进行月调度。调度表自本月开始上报，每月</w:t>
      </w:r>
      <w:r>
        <w:rPr>
          <w:rFonts w:ascii="Times New Roman" w:hAnsi="Times New Roman" w:eastAsia="Times New Roman" w:cs="Times New Roman"/>
          <w:spacing w:val="2"/>
          <w:sz w:val="20"/>
          <w:szCs w:val="20"/>
        </w:rPr>
        <w:t>28</w:t>
      </w:r>
      <w:r>
        <w:rPr>
          <w:rFonts w:ascii="楷体" w:hAnsi="楷体" w:eastAsia="楷体" w:cs="楷体"/>
          <w:spacing w:val="2"/>
          <w:sz w:val="20"/>
          <w:szCs w:val="20"/>
        </w:rPr>
        <w:t>日前上报累计情况。</w:t>
      </w:r>
    </w:p>
    <w:p>
      <w:pPr>
        <w:keepNext w:val="0"/>
        <w:keepLines w:val="0"/>
        <w:pageBreakBefore w:val="0"/>
        <w:widowControl w:val="0"/>
        <w:kinsoku/>
        <w:wordWrap/>
        <w:overflowPunct/>
        <w:topLinePunct w:val="0"/>
        <w:autoSpaceDE/>
        <w:autoSpaceDN/>
        <w:bidi w:val="0"/>
        <w:adjustRightInd/>
        <w:snapToGrid/>
        <w:spacing w:line="320" w:lineRule="exact"/>
        <w:ind w:left="0" w:right="0" w:firstLine="420"/>
        <w:textAlignment w:val="auto"/>
        <w:rPr>
          <w:rFonts w:hint="eastAsia" w:ascii="仿宋_GB2312" w:hAnsi="仿宋_GB2312" w:eastAsia="仿宋_GB2312" w:cs="仿宋_GB2312"/>
          <w:color w:val="000000"/>
          <w:kern w:val="0"/>
          <w:sz w:val="32"/>
          <w:szCs w:val="32"/>
        </w:rPr>
      </w:pPr>
      <w:r>
        <w:rPr>
          <w:rFonts w:ascii="Times New Roman" w:hAnsi="Times New Roman" w:eastAsia="Times New Roman" w:cs="Times New Roman"/>
          <w:spacing w:val="22"/>
          <w:sz w:val="20"/>
          <w:szCs w:val="20"/>
        </w:rPr>
        <w:t>2</w:t>
      </w:r>
      <w:r>
        <w:rPr>
          <w:rFonts w:ascii="Times New Roman" w:hAnsi="Times New Roman" w:eastAsia="Times New Roman" w:cs="Times New Roman"/>
          <w:spacing w:val="16"/>
          <w:sz w:val="20"/>
          <w:szCs w:val="20"/>
        </w:rPr>
        <w:t>.</w:t>
      </w:r>
      <w:r>
        <w:rPr>
          <w:rFonts w:ascii="楷体" w:hAnsi="楷体" w:eastAsia="楷体" w:cs="楷体"/>
          <w:spacing w:val="11"/>
          <w:sz w:val="20"/>
          <w:szCs w:val="20"/>
        </w:rPr>
        <w:t>调度表内容应围绕专项排查整治工作并对照方案具体要求如实填报，特别是对企业自查情</w:t>
      </w:r>
      <w:r>
        <w:rPr>
          <w:rFonts w:ascii="楷体" w:hAnsi="楷体" w:eastAsia="楷体" w:cs="楷体"/>
          <w:spacing w:val="8"/>
          <w:sz w:val="20"/>
          <w:szCs w:val="20"/>
        </w:rPr>
        <w:t>况进行抽查检查时，要深挖细查，查出真问题。如：电焊等人员无证上岗作业，既要通过现场</w:t>
      </w:r>
      <w:r>
        <w:rPr>
          <w:rFonts w:ascii="楷体" w:hAnsi="楷体" w:eastAsia="楷体" w:cs="楷体"/>
          <w:spacing w:val="3"/>
          <w:sz w:val="20"/>
          <w:szCs w:val="20"/>
        </w:rPr>
        <w:t>检</w:t>
      </w:r>
      <w:r>
        <w:rPr>
          <w:rFonts w:ascii="楷体" w:hAnsi="楷体" w:eastAsia="楷体" w:cs="楷体"/>
          <w:sz w:val="20"/>
          <w:szCs w:val="20"/>
        </w:rPr>
        <w:t xml:space="preserve"> </w:t>
      </w:r>
      <w:r>
        <w:rPr>
          <w:rFonts w:ascii="楷体" w:hAnsi="楷体" w:eastAsia="楷体" w:cs="楷体"/>
          <w:spacing w:val="12"/>
          <w:sz w:val="20"/>
          <w:szCs w:val="20"/>
        </w:rPr>
        <w:t>查发现问题</w:t>
      </w:r>
      <w:r>
        <w:rPr>
          <w:rFonts w:ascii="楷体" w:hAnsi="楷体" w:eastAsia="楷体" w:cs="楷体"/>
          <w:spacing w:val="9"/>
          <w:sz w:val="20"/>
          <w:szCs w:val="20"/>
        </w:rPr>
        <w:t>，</w:t>
      </w:r>
      <w:r>
        <w:rPr>
          <w:rFonts w:ascii="楷体" w:hAnsi="楷体" w:eastAsia="楷体" w:cs="楷体"/>
          <w:spacing w:val="6"/>
          <w:sz w:val="20"/>
          <w:szCs w:val="20"/>
        </w:rPr>
        <w:t>也要通过对企业动火等特种作业存单进行检查核实来发现问题；外包外租管理混乱，</w:t>
      </w:r>
      <w:r>
        <w:rPr>
          <w:rFonts w:ascii="楷体" w:hAnsi="楷体" w:eastAsia="楷体" w:cs="楷体"/>
          <w:sz w:val="20"/>
          <w:szCs w:val="20"/>
        </w:rPr>
        <w:t xml:space="preserve"> </w:t>
      </w:r>
      <w:r>
        <w:rPr>
          <w:rFonts w:ascii="楷体" w:hAnsi="楷体" w:eastAsia="楷体" w:cs="楷体"/>
          <w:spacing w:val="20"/>
          <w:sz w:val="20"/>
          <w:szCs w:val="20"/>
        </w:rPr>
        <w:t>是</w:t>
      </w:r>
      <w:r>
        <w:rPr>
          <w:rFonts w:ascii="楷体" w:hAnsi="楷体" w:eastAsia="楷体" w:cs="楷体"/>
          <w:spacing w:val="17"/>
          <w:sz w:val="20"/>
          <w:szCs w:val="20"/>
        </w:rPr>
        <w:t>指</w:t>
      </w:r>
      <w:r>
        <w:rPr>
          <w:rFonts w:ascii="楷体" w:hAnsi="楷体" w:eastAsia="楷体" w:cs="楷体"/>
          <w:spacing w:val="10"/>
          <w:sz w:val="20"/>
          <w:szCs w:val="20"/>
        </w:rPr>
        <w:t>符合以下情形之一的：承包承租方不具备安全生产条件、未取得相应资质，双方未签订安全</w:t>
      </w:r>
      <w:r>
        <w:rPr>
          <w:rFonts w:ascii="楷体" w:hAnsi="楷体" w:eastAsia="楷体" w:cs="楷体"/>
          <w:sz w:val="20"/>
          <w:szCs w:val="20"/>
        </w:rPr>
        <w:t xml:space="preserve"> </w:t>
      </w:r>
      <w:r>
        <w:rPr>
          <w:rFonts w:ascii="楷体" w:hAnsi="楷体" w:eastAsia="楷体" w:cs="楷体"/>
          <w:spacing w:val="18"/>
          <w:sz w:val="20"/>
          <w:szCs w:val="20"/>
        </w:rPr>
        <w:t>生</w:t>
      </w:r>
      <w:r>
        <w:rPr>
          <w:rFonts w:ascii="楷体" w:hAnsi="楷体" w:eastAsia="楷体" w:cs="楷体"/>
          <w:spacing w:val="10"/>
          <w:sz w:val="20"/>
          <w:szCs w:val="20"/>
        </w:rPr>
        <w:t>产</w:t>
      </w:r>
      <w:r>
        <w:rPr>
          <w:rFonts w:ascii="楷体" w:hAnsi="楷体" w:eastAsia="楷体" w:cs="楷体"/>
          <w:spacing w:val="9"/>
          <w:sz w:val="20"/>
          <w:szCs w:val="20"/>
        </w:rPr>
        <w:t>协议，安全生产管理职责不清，未纳入本企业统一管理。</w:t>
      </w:r>
    </w:p>
    <w:p/>
    <w:sectPr>
      <w:pgSz w:w="11910" w:h="16840"/>
      <w:pgMar w:top="1417" w:right="1531" w:bottom="1417" w:left="1531" w:header="720" w:footer="624"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3BA4623E"/>
    <w:rsid w:val="3BA4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Calibri" w:hAnsi="Calibri"/>
    </w:rPr>
  </w:style>
  <w:style w:type="paragraph" w:styleId="3">
    <w:name w:val="Body Text Indent"/>
    <w:basedOn w:val="1"/>
    <w:semiHidden/>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BodyText1I2"/>
    <w:basedOn w:val="9"/>
    <w:autoRedefine/>
    <w:semiHidden/>
    <w:qFormat/>
    <w:uiPriority w:val="99"/>
    <w:pPr>
      <w:ind w:firstLine="420"/>
    </w:pPr>
  </w:style>
  <w:style w:type="paragraph" w:customStyle="1" w:styleId="9">
    <w:name w:val="BodyTextIndent"/>
    <w:basedOn w:val="1"/>
    <w:autoRedefine/>
    <w:semiHidden/>
    <w:qFormat/>
    <w:uiPriority w:val="99"/>
    <w:pPr>
      <w:widowControl/>
      <w:spacing w:after="120"/>
      <w:ind w:left="420" w:leftChars="200"/>
      <w:textAlignment w:val="baseline"/>
    </w:p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2023-12-29T03:42:00Z</dcterms:created>
  <dc:creator>U</dc:creator>
  <cp:lastModifiedBy>U</cp:lastModifiedBy>
  <dcterms:modified xsi:type="dcterms:W3CDTF">2023-12-29T03:43:03Z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A0CE4A7E2975426BAF025962418003A4_11</vt:lpwstr>
  </property>
</Properties>
</file>