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val="0"/>
        <w:autoSpaceDN w:val="0"/>
        <w:adjustRightInd w:val="0"/>
        <w:spacing w:line="560" w:lineRule="exact"/>
        <w:contextualSpacing/>
        <w:jc w:val="center"/>
        <w:rPr>
          <w:rFonts w:eastAsia="方正小标宋_GBK"/>
          <w:bCs/>
          <w:snapToGrid w:val="0"/>
          <w:color w:val="000000"/>
          <w:kern w:val="0"/>
          <w:sz w:val="44"/>
          <w:szCs w:val="44"/>
        </w:rPr>
      </w:pPr>
      <w:bookmarkStart w:id="0" w:name="_GoBack"/>
      <w:r>
        <w:rPr>
          <w:rFonts w:hint="eastAsia" w:eastAsia="方正小标宋_GBK"/>
          <w:bCs/>
          <w:snapToGrid w:val="0"/>
          <w:color w:val="000000"/>
          <w:kern w:val="0"/>
          <w:sz w:val="44"/>
          <w:szCs w:val="44"/>
        </w:rPr>
        <w:t>黑林镇冬季安全生产专项治理行动实施方案</w:t>
      </w:r>
    </w:p>
    <w:bookmarkEnd w:id="0"/>
    <w:p>
      <w:pPr>
        <w:autoSpaceDE w:val="0"/>
        <w:autoSpaceDN w:val="0"/>
        <w:adjustRightInd w:val="0"/>
        <w:spacing w:line="560" w:lineRule="exact"/>
        <w:ind w:firstLine="640" w:firstLineChars="200"/>
        <w:contextualSpacing/>
        <w:rPr>
          <w:rFonts w:eastAsia="仿宋_GB2312"/>
          <w:bCs/>
          <w:snapToGrid w:val="0"/>
          <w:color w:val="000000"/>
          <w:kern w:val="0"/>
          <w:sz w:val="32"/>
          <w:szCs w:val="32"/>
        </w:rPr>
      </w:pPr>
    </w:p>
    <w:p>
      <w:pPr>
        <w:autoSpaceDE w:val="0"/>
        <w:autoSpaceDN w:val="0"/>
        <w:adjustRightInd w:val="0"/>
        <w:spacing w:line="560" w:lineRule="exact"/>
        <w:ind w:firstLine="600" w:firstLineChars="200"/>
        <w:contextualSpacing/>
        <w:rPr>
          <w:rFonts w:ascii="??"/>
          <w:bCs/>
          <w:snapToGrid w:val="0"/>
          <w:color w:val="000000"/>
          <w:kern w:val="0"/>
          <w:sz w:val="30"/>
          <w:szCs w:val="30"/>
        </w:rPr>
      </w:pPr>
      <w:r>
        <w:rPr>
          <w:rFonts w:hint="eastAsia" w:ascii="宋体" w:hAnsi="宋体" w:cs="宋体"/>
          <w:bCs/>
          <w:snapToGrid w:val="0"/>
          <w:color w:val="000000"/>
          <w:kern w:val="0"/>
          <w:sz w:val="30"/>
          <w:szCs w:val="30"/>
        </w:rPr>
        <w:t>针对冬季低温、雨雪、冰冻、大雾等极端天气频繁，影响安全生产的因素增多，各类生产安全事故易发高发的特点，从即日起在全镇开展冬季安全生产专项治理行动，制定实施方案如下：</w:t>
      </w:r>
    </w:p>
    <w:p>
      <w:pPr>
        <w:pStyle w:val="5"/>
        <w:autoSpaceDE w:val="0"/>
        <w:autoSpaceDN w:val="0"/>
        <w:spacing w:line="560" w:lineRule="exact"/>
        <w:ind w:firstLine="600" w:firstLineChars="200"/>
        <w:rPr>
          <w:rFonts w:ascii="黑体" w:hAnsi="黑体" w:eastAsia="黑体" w:cs="Times New Roman"/>
          <w:kern w:val="0"/>
          <w:sz w:val="30"/>
          <w:szCs w:val="30"/>
          <w:lang w:val="en-US"/>
        </w:rPr>
      </w:pPr>
      <w:r>
        <w:rPr>
          <w:rFonts w:hint="eastAsia" w:ascii="黑体" w:hAnsi="黑体" w:eastAsia="黑体" w:cs="Times New Roman"/>
          <w:kern w:val="0"/>
          <w:sz w:val="30"/>
          <w:szCs w:val="30"/>
          <w:lang w:val="en-US"/>
        </w:rPr>
        <w:t>一、工作目标</w:t>
      </w:r>
    </w:p>
    <w:p>
      <w:pPr>
        <w:autoSpaceDE w:val="0"/>
        <w:autoSpaceDN w:val="0"/>
        <w:adjustRightInd w:val="0"/>
        <w:spacing w:line="560" w:lineRule="exact"/>
        <w:ind w:firstLine="600" w:firstLineChars="200"/>
        <w:contextualSpacing/>
        <w:rPr>
          <w:rFonts w:ascii="??"/>
          <w:sz w:val="30"/>
          <w:szCs w:val="30"/>
        </w:rPr>
      </w:pPr>
      <w:r>
        <w:rPr>
          <w:rFonts w:hint="eastAsia" w:ascii="宋体" w:hAnsi="宋体" w:cs="宋体"/>
          <w:sz w:val="30"/>
          <w:szCs w:val="30"/>
        </w:rPr>
        <w:t>深刻汲取典型事故教训，持续深化问题隐患排查治理，以更完善的源头治理、更严密的责任体系、更有效的防控措施、更严格的监管执法、更有力的基础保障，全面提升安全水平。</w:t>
      </w:r>
    </w:p>
    <w:p>
      <w:pPr>
        <w:pStyle w:val="9"/>
        <w:autoSpaceDE w:val="0"/>
        <w:autoSpaceDN w:val="0"/>
        <w:spacing w:beforeAutospacing="0" w:afterAutospacing="0" w:line="560" w:lineRule="exact"/>
        <w:ind w:firstLine="600" w:firstLineChars="200"/>
        <w:jc w:val="both"/>
        <w:rPr>
          <w:rFonts w:ascii="黑体" w:hAnsi="黑体" w:eastAsia="黑体"/>
          <w:sz w:val="30"/>
          <w:szCs w:val="30"/>
        </w:rPr>
      </w:pPr>
      <w:r>
        <w:rPr>
          <w:rFonts w:hint="eastAsia" w:ascii="黑体" w:hAnsi="黑体" w:eastAsia="黑体"/>
          <w:sz w:val="30"/>
          <w:szCs w:val="30"/>
        </w:rPr>
        <w:t>二、重点治理内容</w:t>
      </w:r>
    </w:p>
    <w:p>
      <w:pPr>
        <w:autoSpaceDE w:val="0"/>
        <w:autoSpaceDN w:val="0"/>
        <w:adjustRightInd w:val="0"/>
        <w:spacing w:line="560" w:lineRule="exact"/>
        <w:ind w:firstLine="602" w:firstLineChars="200"/>
        <w:contextualSpacing/>
        <w:rPr>
          <w:rFonts w:ascii="??"/>
          <w:sz w:val="30"/>
          <w:szCs w:val="30"/>
        </w:rPr>
      </w:pPr>
      <w:r>
        <w:rPr>
          <w:rFonts w:hint="eastAsia" w:ascii="宋体" w:hAnsi="宋体" w:cs="宋体"/>
          <w:b/>
          <w:bCs/>
          <w:sz w:val="30"/>
          <w:szCs w:val="30"/>
        </w:rPr>
        <w:t>突出季节性，</w:t>
      </w:r>
      <w:r>
        <w:rPr>
          <w:rFonts w:hint="eastAsia" w:ascii="宋体" w:hAnsi="宋体" w:cs="宋体"/>
          <w:sz w:val="30"/>
          <w:szCs w:val="30"/>
        </w:rPr>
        <w:t>紧盯大风、寒潮、大雾等易发极端天气，元旦、春节、元宵节等节假日较多，生产经营性活动活跃等特点，盯住重点，整治难点，严管严控冬季各类安全风险；</w:t>
      </w:r>
      <w:r>
        <w:rPr>
          <w:rFonts w:hint="eastAsia" w:ascii="宋体" w:hAnsi="宋体" w:cs="宋体"/>
          <w:b/>
          <w:bCs/>
          <w:sz w:val="30"/>
          <w:szCs w:val="30"/>
        </w:rPr>
        <w:t>突出针对性，</w:t>
      </w:r>
      <w:r>
        <w:rPr>
          <w:rFonts w:hint="eastAsia" w:ascii="宋体" w:hAnsi="宋体" w:cs="宋体"/>
          <w:sz w:val="30"/>
          <w:szCs w:val="30"/>
        </w:rPr>
        <w:t>深刻吸取近期</w:t>
      </w:r>
      <w:r>
        <w:rPr>
          <w:rFonts w:ascii="??" w:eastAsia="Times New Roman"/>
          <w:sz w:val="30"/>
          <w:szCs w:val="30"/>
        </w:rPr>
        <w:t>“</w:t>
      </w:r>
      <w:r>
        <w:rPr>
          <w:rFonts w:ascii="??" w:hAnsi="??"/>
          <w:sz w:val="30"/>
          <w:szCs w:val="30"/>
        </w:rPr>
        <w:t>10·29”</w:t>
      </w:r>
      <w:r>
        <w:rPr>
          <w:rFonts w:hint="eastAsia" w:ascii="宋体" w:hAnsi="宋体" w:cs="宋体"/>
          <w:sz w:val="30"/>
          <w:szCs w:val="30"/>
        </w:rPr>
        <w:t>南京金盛百货火灾、</w:t>
      </w:r>
      <w:r>
        <w:rPr>
          <w:rFonts w:ascii="??" w:eastAsia="Times New Roman"/>
          <w:sz w:val="30"/>
          <w:szCs w:val="30"/>
        </w:rPr>
        <w:t>“</w:t>
      </w:r>
      <w:r>
        <w:rPr>
          <w:rFonts w:ascii="??" w:hAnsi="??"/>
          <w:sz w:val="30"/>
          <w:szCs w:val="30"/>
        </w:rPr>
        <w:t>11·18”</w:t>
      </w:r>
      <w:r>
        <w:rPr>
          <w:rFonts w:hint="eastAsia" w:ascii="宋体" w:hAnsi="宋体" w:cs="宋体"/>
          <w:sz w:val="30"/>
          <w:szCs w:val="30"/>
        </w:rPr>
        <w:t>浙江有限空间事故、</w:t>
      </w:r>
      <w:r>
        <w:rPr>
          <w:rFonts w:ascii="??" w:eastAsia="Times New Roman"/>
          <w:sz w:val="30"/>
          <w:szCs w:val="30"/>
        </w:rPr>
        <w:t>“</w:t>
      </w:r>
      <w:r>
        <w:rPr>
          <w:rFonts w:ascii="??" w:hAnsi="??"/>
          <w:sz w:val="30"/>
          <w:szCs w:val="30"/>
        </w:rPr>
        <w:t>11·21”</w:t>
      </w:r>
      <w:r>
        <w:rPr>
          <w:rFonts w:hint="eastAsia" w:ascii="宋体" w:hAnsi="宋体" w:cs="宋体"/>
          <w:sz w:val="30"/>
          <w:szCs w:val="30"/>
        </w:rPr>
        <w:t>河南安阳厂房火灾、</w:t>
      </w:r>
      <w:r>
        <w:rPr>
          <w:rFonts w:ascii="??" w:eastAsia="Times New Roman"/>
          <w:sz w:val="30"/>
          <w:szCs w:val="30"/>
        </w:rPr>
        <w:t>“</w:t>
      </w:r>
      <w:r>
        <w:rPr>
          <w:rFonts w:ascii="??" w:hAnsi="??"/>
          <w:sz w:val="30"/>
          <w:szCs w:val="30"/>
        </w:rPr>
        <w:t>11·21”</w:t>
      </w:r>
      <w:r>
        <w:rPr>
          <w:rFonts w:hint="eastAsia" w:ascii="宋体" w:hAnsi="宋体" w:cs="宋体"/>
          <w:sz w:val="30"/>
          <w:szCs w:val="30"/>
        </w:rPr>
        <w:t>山西太原江阳化工厂爆炸、</w:t>
      </w:r>
      <w:r>
        <w:rPr>
          <w:rFonts w:ascii="??" w:eastAsia="Times New Roman"/>
          <w:sz w:val="30"/>
          <w:szCs w:val="30"/>
        </w:rPr>
        <w:t>“</w:t>
      </w:r>
      <w:r>
        <w:rPr>
          <w:rFonts w:ascii="??" w:hAnsi="??"/>
          <w:sz w:val="30"/>
          <w:szCs w:val="30"/>
        </w:rPr>
        <w:t>11·24”</w:t>
      </w:r>
      <w:r>
        <w:rPr>
          <w:rFonts w:hint="eastAsia" w:ascii="宋体" w:hAnsi="宋体" w:cs="宋体"/>
          <w:sz w:val="30"/>
          <w:szCs w:val="30"/>
        </w:rPr>
        <w:t>乌鲁木齐高层住宅楼火灾等省内外典型事故教训，重点关注</w:t>
      </w:r>
      <w:r>
        <w:rPr>
          <w:rFonts w:ascii="??" w:eastAsia="Times New Roman"/>
          <w:sz w:val="30"/>
          <w:szCs w:val="30"/>
        </w:rPr>
        <w:t>“</w:t>
      </w:r>
      <w:r>
        <w:rPr>
          <w:rFonts w:hint="eastAsia" w:ascii="宋体" w:hAnsi="宋体" w:cs="宋体"/>
          <w:sz w:val="30"/>
          <w:szCs w:val="30"/>
        </w:rPr>
        <w:t>两会</w:t>
      </w:r>
      <w:r>
        <w:rPr>
          <w:rFonts w:ascii="??" w:eastAsia="Times New Roman"/>
          <w:sz w:val="30"/>
          <w:szCs w:val="30"/>
        </w:rPr>
        <w:t>”</w:t>
      </w:r>
      <w:r>
        <w:rPr>
          <w:rFonts w:hint="eastAsia" w:ascii="宋体" w:hAnsi="宋体" w:cs="宋体"/>
          <w:sz w:val="30"/>
          <w:szCs w:val="30"/>
        </w:rPr>
        <w:t>等重大活动，举一反三，做好重点行业领域和重点时段安全防范工作；</w:t>
      </w:r>
      <w:r>
        <w:rPr>
          <w:rFonts w:hint="eastAsia" w:ascii="宋体" w:hAnsi="宋体" w:cs="宋体"/>
          <w:b/>
          <w:bCs/>
          <w:sz w:val="30"/>
          <w:szCs w:val="30"/>
        </w:rPr>
        <w:t>突出全面性，</w:t>
      </w:r>
      <w:r>
        <w:rPr>
          <w:rFonts w:hint="eastAsia" w:ascii="宋体" w:hAnsi="宋体" w:cs="宋体"/>
          <w:sz w:val="30"/>
          <w:szCs w:val="30"/>
        </w:rPr>
        <w:t>全领域、全行业、全链条、全流程落实排查整治，对隐患整改进行综合研判会诊，发动群众监督，畅通举报渠道，构建群防群治监管格局，最大限度消除监管盲区；</w:t>
      </w:r>
      <w:r>
        <w:rPr>
          <w:rFonts w:hint="eastAsia" w:ascii="宋体" w:hAnsi="宋体" w:cs="宋体"/>
          <w:b/>
          <w:bCs/>
          <w:sz w:val="30"/>
          <w:szCs w:val="30"/>
        </w:rPr>
        <w:t>突出长效性，</w:t>
      </w:r>
      <w:r>
        <w:rPr>
          <w:rFonts w:hint="eastAsia" w:ascii="宋体" w:hAnsi="宋体" w:cs="宋体"/>
          <w:sz w:val="30"/>
          <w:szCs w:val="30"/>
        </w:rPr>
        <w:t>坚持制度建设、机制建设贯穿始终，持续做好疫情防控常态化条件下的安全监管。</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（一）危险化学品（共</w:t>
      </w:r>
      <w:r>
        <w:rPr>
          <w:rFonts w:ascii="??" w:hAnsi="??"/>
          <w:sz w:val="30"/>
          <w:szCs w:val="30"/>
        </w:rPr>
        <w:t>7</w:t>
      </w:r>
      <w:r>
        <w:rPr>
          <w:rFonts w:hint="eastAsia" w:ascii="宋体" w:hAnsi="宋体" w:cs="宋体"/>
          <w:sz w:val="30"/>
          <w:szCs w:val="30"/>
        </w:rPr>
        <w:t>条）</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责任部门：安监所牵头负责</w:t>
      </w:r>
    </w:p>
    <w:p>
      <w:pPr>
        <w:pStyle w:val="9"/>
        <w:autoSpaceDE w:val="0"/>
        <w:autoSpaceDN w:val="0"/>
        <w:spacing w:beforeAutospacing="0" w:afterAutospacing="0" w:line="560" w:lineRule="exact"/>
        <w:ind w:firstLine="600" w:firstLineChars="200"/>
        <w:jc w:val="both"/>
        <w:rPr>
          <w:rFonts w:ascii="??"/>
          <w:sz w:val="30"/>
          <w:szCs w:val="30"/>
        </w:rPr>
      </w:pPr>
      <w:r>
        <w:rPr>
          <w:rFonts w:ascii="??" w:hAnsi="??"/>
          <w:sz w:val="30"/>
          <w:szCs w:val="30"/>
        </w:rPr>
        <w:t>1.</w:t>
      </w:r>
      <w:r>
        <w:rPr>
          <w:rFonts w:hint="eastAsia" w:ascii="宋体" w:hAnsi="宋体" w:cs="宋体"/>
          <w:sz w:val="30"/>
          <w:szCs w:val="30"/>
        </w:rPr>
        <w:t>企业是否组织开展全面的冬季安全生产自查活动，严格做好防冻、防凝、防火、防爆、防静电、防泄漏等工作，确保危化品生产、储存设施安全稳定运行。</w:t>
      </w:r>
    </w:p>
    <w:p>
      <w:pPr>
        <w:pStyle w:val="9"/>
        <w:autoSpaceDE w:val="0"/>
        <w:autoSpaceDN w:val="0"/>
        <w:spacing w:beforeAutospacing="0" w:afterAutospacing="0" w:line="560" w:lineRule="exact"/>
        <w:ind w:firstLine="600" w:firstLineChars="200"/>
        <w:jc w:val="both"/>
        <w:rPr>
          <w:rFonts w:ascii="??"/>
          <w:sz w:val="30"/>
          <w:szCs w:val="30"/>
        </w:rPr>
      </w:pPr>
      <w:r>
        <w:rPr>
          <w:rFonts w:ascii="??" w:hAnsi="??"/>
          <w:sz w:val="30"/>
          <w:szCs w:val="30"/>
        </w:rPr>
        <w:t>2.</w:t>
      </w:r>
      <w:r>
        <w:rPr>
          <w:rFonts w:hint="eastAsia" w:ascii="宋体" w:hAnsi="宋体" w:cs="宋体"/>
          <w:sz w:val="30"/>
          <w:szCs w:val="30"/>
        </w:rPr>
        <w:t>压力储罐是否采用有防冻措施，是否设紧急切断阀；安全阀、呼吸阀、阻火器等安全附件是否定期检查，冬季易冻结的危化品储罐安全阀、呼吸阀、阻火器等安全附件是否有防凝、防冻措施；安全仪表系统维护、防冻、防凝、防水措施是否落实到位，仪表是否完好有效；易燃易爆危化品装卸是否设防静电专用接地线。</w:t>
      </w:r>
    </w:p>
    <w:p>
      <w:pPr>
        <w:pStyle w:val="9"/>
        <w:autoSpaceDE w:val="0"/>
        <w:autoSpaceDN w:val="0"/>
        <w:spacing w:beforeAutospacing="0" w:afterAutospacing="0" w:line="560" w:lineRule="exact"/>
        <w:ind w:firstLine="600" w:firstLineChars="200"/>
        <w:jc w:val="both"/>
        <w:rPr>
          <w:rFonts w:ascii="??"/>
          <w:sz w:val="30"/>
          <w:szCs w:val="30"/>
        </w:rPr>
      </w:pPr>
      <w:r>
        <w:rPr>
          <w:rFonts w:ascii="??" w:hAnsi="??"/>
          <w:sz w:val="30"/>
          <w:szCs w:val="30"/>
        </w:rPr>
        <w:t>3.</w:t>
      </w:r>
      <w:r>
        <w:rPr>
          <w:rFonts w:hint="eastAsia" w:ascii="宋体" w:hAnsi="宋体" w:cs="宋体"/>
          <w:sz w:val="30"/>
          <w:szCs w:val="30"/>
        </w:rPr>
        <w:t>企业是否存在赶工期、抢产量、超负荷生产运行，是否存在</w:t>
      </w:r>
      <w:r>
        <w:rPr>
          <w:rFonts w:ascii="??" w:eastAsia="Times New Roman"/>
          <w:sz w:val="30"/>
          <w:szCs w:val="30"/>
        </w:rPr>
        <w:t>“</w:t>
      </w:r>
      <w:r>
        <w:rPr>
          <w:rFonts w:hint="eastAsia" w:ascii="宋体" w:hAnsi="宋体" w:cs="宋体"/>
          <w:sz w:val="30"/>
          <w:szCs w:val="30"/>
        </w:rPr>
        <w:t>三违</w:t>
      </w:r>
      <w:r>
        <w:rPr>
          <w:rFonts w:ascii="??" w:eastAsia="Times New Roman"/>
          <w:sz w:val="30"/>
          <w:szCs w:val="30"/>
        </w:rPr>
        <w:t>”</w:t>
      </w:r>
      <w:r>
        <w:rPr>
          <w:rFonts w:hint="eastAsia" w:ascii="宋体" w:hAnsi="宋体" w:cs="宋体"/>
          <w:sz w:val="30"/>
          <w:szCs w:val="30"/>
        </w:rPr>
        <w:t>现象，是否擅自在生产现场设置职工休息室、现场办公室。</w:t>
      </w:r>
    </w:p>
    <w:p>
      <w:pPr>
        <w:pStyle w:val="9"/>
        <w:autoSpaceDE w:val="0"/>
        <w:autoSpaceDN w:val="0"/>
        <w:spacing w:beforeAutospacing="0" w:afterAutospacing="0" w:line="560" w:lineRule="exact"/>
        <w:ind w:firstLine="600" w:firstLineChars="200"/>
        <w:jc w:val="both"/>
        <w:rPr>
          <w:rFonts w:ascii="??"/>
          <w:sz w:val="30"/>
          <w:szCs w:val="30"/>
        </w:rPr>
      </w:pPr>
      <w:r>
        <w:rPr>
          <w:rFonts w:ascii="??" w:hAnsi="??"/>
          <w:sz w:val="30"/>
          <w:szCs w:val="30"/>
        </w:rPr>
        <w:t>4.</w:t>
      </w:r>
      <w:r>
        <w:rPr>
          <w:rFonts w:hint="eastAsia" w:ascii="宋体" w:hAnsi="宋体" w:cs="宋体"/>
          <w:sz w:val="30"/>
          <w:szCs w:val="30"/>
        </w:rPr>
        <w:t>企业是否严格执行变更管理制度，是否做好设备设施、原辅料、工艺过程、操作指标等变更风险辨识，是否及时修订操作规程、开展变更培训。</w:t>
      </w:r>
    </w:p>
    <w:p>
      <w:pPr>
        <w:pStyle w:val="9"/>
        <w:autoSpaceDE w:val="0"/>
        <w:autoSpaceDN w:val="0"/>
        <w:spacing w:beforeAutospacing="0" w:afterAutospacing="0" w:line="560" w:lineRule="exact"/>
        <w:ind w:firstLine="600" w:firstLineChars="200"/>
        <w:jc w:val="both"/>
        <w:rPr>
          <w:rFonts w:ascii="??"/>
          <w:sz w:val="30"/>
          <w:szCs w:val="30"/>
        </w:rPr>
      </w:pPr>
      <w:r>
        <w:rPr>
          <w:rFonts w:ascii="??" w:hAnsi="??"/>
          <w:sz w:val="30"/>
          <w:szCs w:val="30"/>
        </w:rPr>
        <w:t>5.</w:t>
      </w:r>
      <w:r>
        <w:rPr>
          <w:rFonts w:hint="eastAsia" w:ascii="宋体" w:hAnsi="宋体" w:cs="宋体"/>
          <w:sz w:val="30"/>
          <w:szCs w:val="30"/>
        </w:rPr>
        <w:t>企业是否落实高危作业管控，是否严格执行《危险化学品企业特殊作业安全规范》（</w:t>
      </w:r>
      <w:r>
        <w:rPr>
          <w:rFonts w:ascii="??" w:hAnsi="??"/>
          <w:sz w:val="30"/>
          <w:szCs w:val="30"/>
        </w:rPr>
        <w:t>GB30871-2022</w:t>
      </w:r>
      <w:r>
        <w:rPr>
          <w:rFonts w:hint="eastAsia" w:ascii="宋体" w:hAnsi="宋体" w:cs="宋体"/>
          <w:sz w:val="30"/>
          <w:szCs w:val="30"/>
        </w:rPr>
        <w:t>）有关要求，是否建立健全特殊作业许可制度，是否严格实施特殊作业风险分析，是否禁止恶劣天气情况下开展动火作业、高处作业、临时用电、起重吊装等特殊作业。</w:t>
      </w:r>
    </w:p>
    <w:p>
      <w:pPr>
        <w:pStyle w:val="9"/>
        <w:autoSpaceDE w:val="0"/>
        <w:autoSpaceDN w:val="0"/>
        <w:spacing w:beforeAutospacing="0" w:afterAutospacing="0" w:line="560" w:lineRule="exact"/>
        <w:ind w:firstLine="600" w:firstLineChars="200"/>
        <w:jc w:val="both"/>
        <w:rPr>
          <w:rFonts w:ascii="??"/>
          <w:sz w:val="30"/>
          <w:szCs w:val="30"/>
        </w:rPr>
      </w:pPr>
      <w:r>
        <w:rPr>
          <w:rFonts w:ascii="??" w:hAnsi="??"/>
          <w:sz w:val="30"/>
          <w:szCs w:val="30"/>
        </w:rPr>
        <w:t>6.</w:t>
      </w:r>
      <w:r>
        <w:rPr>
          <w:rFonts w:hint="eastAsia" w:ascii="宋体" w:hAnsi="宋体" w:cs="宋体"/>
          <w:sz w:val="30"/>
          <w:szCs w:val="30"/>
        </w:rPr>
        <w:t>企业是否落实双重预防，按要求全面辨识人员、管理、作业、物资准备与应急响应等方面存在的风险并制定管控措施，是否根据企业实际编制应急处置方案。</w:t>
      </w:r>
    </w:p>
    <w:p>
      <w:pPr>
        <w:pStyle w:val="9"/>
        <w:autoSpaceDE w:val="0"/>
        <w:autoSpaceDN w:val="0"/>
        <w:spacing w:beforeAutospacing="0" w:afterAutospacing="0" w:line="560" w:lineRule="exact"/>
        <w:ind w:firstLine="600" w:firstLineChars="200"/>
        <w:jc w:val="both"/>
        <w:rPr>
          <w:rFonts w:ascii="??"/>
          <w:sz w:val="30"/>
          <w:szCs w:val="30"/>
        </w:rPr>
      </w:pPr>
      <w:r>
        <w:rPr>
          <w:rFonts w:ascii="??" w:hAnsi="??"/>
          <w:sz w:val="30"/>
          <w:szCs w:val="30"/>
        </w:rPr>
        <w:t>7.</w:t>
      </w:r>
      <w:r>
        <w:rPr>
          <w:rFonts w:hint="eastAsia" w:ascii="宋体" w:hAnsi="宋体" w:cs="宋体"/>
          <w:sz w:val="30"/>
          <w:szCs w:val="30"/>
        </w:rPr>
        <w:t>烟花爆竹批发企业是否存在将专业燃放类的产品储存在危险等级低的库房、储存药量超过核定储量、购进超标违禁产品、向零售点销售专业燃放类产品等问题；烟花爆竹零售店是否存在与居民居住场所在同一建筑物内、在许可证载明的区域外储存烟花爆竹产品、在零售场所内设置床铺等问题。</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（二）城镇燃气（共</w:t>
      </w:r>
      <w:r>
        <w:rPr>
          <w:rFonts w:ascii="??" w:hAnsi="??"/>
          <w:sz w:val="30"/>
          <w:szCs w:val="30"/>
        </w:rPr>
        <w:t>8</w:t>
      </w:r>
      <w:r>
        <w:rPr>
          <w:rFonts w:hint="eastAsia" w:ascii="宋体" w:hAnsi="宋体" w:cs="宋体"/>
          <w:sz w:val="30"/>
          <w:szCs w:val="30"/>
        </w:rPr>
        <w:t>条）</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责任部门：执法局牵头负责，市场监管分局配合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是否对燃气场站设施进行普查建档。</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是否编制燃气应急预案，及时更新用户清单。</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是否对餐饮场所、商住混合体、车库、地下和半地下室、群租房等燃气使用安全重点薄弱区域开展燃气使用安全监督检查。</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是否对大排档、烧烤店等白天歇业、夜间营业场所进行专项排查，堵塞日常监督检查漏洞。</w:t>
      </w:r>
    </w:p>
    <w:p>
      <w:pPr>
        <w:spacing w:line="560" w:lineRule="exact"/>
        <w:ind w:firstLine="600" w:firstLineChars="200"/>
        <w:contextualSpacing/>
        <w:rPr>
          <w:rFonts w:ascii="??"/>
          <w:sz w:val="30"/>
          <w:szCs w:val="30"/>
        </w:rPr>
      </w:pPr>
      <w:r>
        <w:rPr>
          <w:rFonts w:ascii="??" w:hAnsi="??"/>
          <w:sz w:val="30"/>
          <w:szCs w:val="30"/>
        </w:rPr>
        <w:t>5.</w:t>
      </w:r>
      <w:r>
        <w:rPr>
          <w:rFonts w:hint="eastAsia" w:ascii="宋体" w:hAnsi="宋体" w:cs="宋体"/>
          <w:sz w:val="30"/>
          <w:szCs w:val="30"/>
        </w:rPr>
        <w:t>餐饮等场所是否安装燃气泄漏报警器，是否存在报警器质量不达标、适用气型不符、安装位置不正确或不在工作状态等问题，是否将餐饮场所老化橡胶软管全部更换为金属包覆管。</w:t>
      </w:r>
    </w:p>
    <w:p>
      <w:pPr>
        <w:spacing w:line="560" w:lineRule="exact"/>
        <w:ind w:firstLine="600" w:firstLineChars="200"/>
        <w:contextualSpacing/>
        <w:rPr>
          <w:rFonts w:ascii="??"/>
          <w:sz w:val="30"/>
          <w:szCs w:val="30"/>
        </w:rPr>
      </w:pPr>
      <w:r>
        <w:rPr>
          <w:rFonts w:ascii="??" w:hAnsi="??"/>
          <w:sz w:val="30"/>
          <w:szCs w:val="30"/>
        </w:rPr>
        <w:t>6.</w:t>
      </w:r>
      <w:r>
        <w:rPr>
          <w:rFonts w:hint="eastAsia" w:ascii="宋体" w:hAnsi="宋体" w:cs="宋体"/>
          <w:sz w:val="30"/>
          <w:szCs w:val="30"/>
        </w:rPr>
        <w:t>是否存在生产和销售不符合安全标准或不符合强制性产品认证要求的燃气具、燃气泄漏报警器、调压器及其连接软管等问题；是否运用网络和移动客户端等加大城镇燃气居民使用安全宣传力度，经常性提醒居民用户开窗通风、人走关阀。</w:t>
      </w:r>
      <w:r>
        <w:rPr>
          <w:rFonts w:ascii="??" w:hAnsi="??"/>
          <w:sz w:val="30"/>
          <w:szCs w:val="30"/>
        </w:rPr>
        <w:t xml:space="preserve"> </w:t>
      </w:r>
    </w:p>
    <w:p>
      <w:pPr>
        <w:spacing w:line="560" w:lineRule="exact"/>
        <w:ind w:firstLine="600" w:firstLineChars="200"/>
        <w:contextualSpacing/>
        <w:rPr>
          <w:rFonts w:ascii="??"/>
          <w:sz w:val="30"/>
          <w:szCs w:val="30"/>
        </w:rPr>
      </w:pPr>
      <w:r>
        <w:rPr>
          <w:rFonts w:ascii="??" w:hAnsi="??"/>
          <w:sz w:val="30"/>
          <w:szCs w:val="30"/>
        </w:rPr>
        <w:t>7.</w:t>
      </w:r>
      <w:r>
        <w:rPr>
          <w:rFonts w:hint="eastAsia" w:ascii="宋体" w:hAnsi="宋体" w:cs="宋体"/>
          <w:sz w:val="30"/>
          <w:szCs w:val="30"/>
        </w:rPr>
        <w:t>是否规范管理瓶装燃气企业市场秩序，是否持续推进</w:t>
      </w:r>
      <w:r>
        <w:rPr>
          <w:rFonts w:ascii="??" w:eastAsia="Times New Roman"/>
          <w:sz w:val="30"/>
          <w:szCs w:val="30"/>
        </w:rPr>
        <w:t>“</w:t>
      </w:r>
      <w:r>
        <w:rPr>
          <w:rFonts w:hint="eastAsia" w:ascii="宋体" w:hAnsi="宋体" w:cs="宋体"/>
          <w:sz w:val="30"/>
          <w:szCs w:val="30"/>
        </w:rPr>
        <w:t>黑气</w:t>
      </w:r>
      <w:r>
        <w:rPr>
          <w:rFonts w:ascii="??" w:eastAsia="Times New Roman"/>
          <w:sz w:val="30"/>
          <w:szCs w:val="30"/>
        </w:rPr>
        <w:t>”</w:t>
      </w:r>
      <w:r>
        <w:rPr>
          <w:rFonts w:hint="eastAsia" w:ascii="宋体" w:hAnsi="宋体" w:cs="宋体"/>
          <w:sz w:val="30"/>
          <w:szCs w:val="30"/>
        </w:rPr>
        <w:t>专项整治行动。瓶装燃气企业是否严格落实购气实名制和配送服务制，实行用户档案管理，向用户发放供气使用凭证；是否及时将用户信息录入用户服务信息系统。</w:t>
      </w:r>
    </w:p>
    <w:p>
      <w:pPr>
        <w:spacing w:line="560" w:lineRule="exact"/>
        <w:ind w:firstLine="600" w:firstLineChars="200"/>
        <w:contextualSpacing/>
        <w:rPr>
          <w:rFonts w:ascii="??"/>
          <w:sz w:val="30"/>
          <w:szCs w:val="30"/>
        </w:rPr>
      </w:pPr>
      <w:r>
        <w:rPr>
          <w:rFonts w:ascii="??" w:hAnsi="??"/>
          <w:sz w:val="30"/>
          <w:szCs w:val="30"/>
        </w:rPr>
        <w:t>8.</w:t>
      </w:r>
      <w:r>
        <w:rPr>
          <w:rFonts w:hint="eastAsia" w:ascii="宋体" w:hAnsi="宋体" w:cs="宋体"/>
          <w:sz w:val="30"/>
          <w:szCs w:val="30"/>
        </w:rPr>
        <w:t>各类餐饮场所是否存在</w:t>
      </w:r>
      <w:r>
        <w:rPr>
          <w:rFonts w:ascii="??" w:eastAsia="Times New Roman"/>
          <w:sz w:val="30"/>
          <w:szCs w:val="30"/>
        </w:rPr>
        <w:t>“</w:t>
      </w:r>
      <w:r>
        <w:rPr>
          <w:rFonts w:hint="eastAsia" w:ascii="宋体" w:hAnsi="宋体" w:cs="宋体"/>
          <w:sz w:val="30"/>
          <w:szCs w:val="30"/>
        </w:rPr>
        <w:t>油</w:t>
      </w:r>
      <w:r>
        <w:rPr>
          <w:rFonts w:ascii="??" w:eastAsia="Times New Roman"/>
          <w:sz w:val="30"/>
          <w:szCs w:val="30"/>
        </w:rPr>
        <w:t>”“</w:t>
      </w:r>
      <w:r>
        <w:rPr>
          <w:rFonts w:hint="eastAsia" w:ascii="宋体" w:hAnsi="宋体" w:cs="宋体"/>
          <w:sz w:val="30"/>
          <w:szCs w:val="30"/>
        </w:rPr>
        <w:t>气</w:t>
      </w:r>
      <w:r>
        <w:rPr>
          <w:rFonts w:ascii="??" w:eastAsia="Times New Roman"/>
          <w:sz w:val="30"/>
          <w:szCs w:val="30"/>
        </w:rPr>
        <w:t>”</w:t>
      </w:r>
      <w:r>
        <w:rPr>
          <w:rFonts w:hint="eastAsia" w:ascii="宋体" w:hAnsi="宋体" w:cs="宋体"/>
          <w:sz w:val="30"/>
          <w:szCs w:val="30"/>
        </w:rPr>
        <w:t>混用混放，违规使用闪点小于</w:t>
      </w:r>
      <w:r>
        <w:rPr>
          <w:rFonts w:ascii="??" w:hAnsi="??"/>
          <w:sz w:val="30"/>
          <w:szCs w:val="30"/>
        </w:rPr>
        <w:t>60</w:t>
      </w:r>
      <w:r>
        <w:rPr>
          <w:rFonts w:hint="eastAsia" w:ascii="宋体" w:hAnsi="宋体" w:cs="宋体"/>
          <w:sz w:val="30"/>
          <w:szCs w:val="30"/>
        </w:rPr>
        <w:t>℃的醇基燃料等新型燃料，配套使用的灶具是否符合国家标准。</w:t>
      </w:r>
    </w:p>
    <w:p>
      <w:pPr>
        <w:spacing w:line="560" w:lineRule="exact"/>
        <w:ind w:firstLine="600" w:firstLineChars="200"/>
        <w:contextualSpacing/>
        <w:rPr>
          <w:rFonts w:ascii="??"/>
          <w:sz w:val="30"/>
          <w:szCs w:val="30"/>
        </w:rPr>
      </w:pPr>
      <w:r>
        <w:rPr>
          <w:rFonts w:hint="eastAsia" w:ascii="宋体" w:hAnsi="宋体" w:cs="宋体"/>
          <w:sz w:val="30"/>
          <w:szCs w:val="30"/>
        </w:rPr>
        <w:t>（三）道路交通（共</w:t>
      </w:r>
      <w:r>
        <w:rPr>
          <w:rFonts w:ascii="??" w:hAnsi="??"/>
          <w:sz w:val="30"/>
          <w:szCs w:val="30"/>
        </w:rPr>
        <w:t>6</w:t>
      </w:r>
      <w:r>
        <w:rPr>
          <w:rFonts w:hint="eastAsia" w:ascii="宋体" w:hAnsi="宋体" w:cs="宋体"/>
          <w:sz w:val="30"/>
          <w:szCs w:val="30"/>
        </w:rPr>
        <w:t>条）</w:t>
      </w:r>
    </w:p>
    <w:p>
      <w:pPr>
        <w:spacing w:line="560" w:lineRule="exact"/>
        <w:ind w:firstLine="600" w:firstLineChars="200"/>
        <w:contextualSpacing/>
        <w:rPr>
          <w:rFonts w:ascii="??"/>
          <w:sz w:val="30"/>
          <w:szCs w:val="30"/>
        </w:rPr>
      </w:pPr>
      <w:r>
        <w:rPr>
          <w:rFonts w:hint="eastAsia" w:ascii="宋体" w:hAnsi="宋体" w:cs="宋体"/>
          <w:sz w:val="30"/>
          <w:szCs w:val="30"/>
        </w:rPr>
        <w:t>责任部门：派出所牵头负责，农路办、查报站、执法局配合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针对冬季雨雾冰雪等极端天气多发的现状，是否健全完善处置预案，研判交通应急工作重点，盯住易发生事故的高风险时段、高风险路段，提前部署、提前预警，提前安排应急物资、协助救援、道路除雪除冰等工作，做到提早应对、快速反应，有效降低事故发生风险。</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是否深入开展</w:t>
      </w:r>
      <w:r>
        <w:rPr>
          <w:rFonts w:ascii="??" w:eastAsia="Times New Roman"/>
          <w:sz w:val="30"/>
          <w:szCs w:val="30"/>
        </w:rPr>
        <w:t>“</w:t>
      </w:r>
      <w:r>
        <w:rPr>
          <w:rFonts w:hint="eastAsia" w:ascii="宋体" w:hAnsi="宋体" w:cs="宋体"/>
          <w:sz w:val="30"/>
          <w:szCs w:val="30"/>
        </w:rPr>
        <w:t>一盔一带</w:t>
      </w:r>
      <w:r>
        <w:rPr>
          <w:rFonts w:ascii="??" w:eastAsia="Times New Roman"/>
          <w:sz w:val="30"/>
          <w:szCs w:val="30"/>
        </w:rPr>
        <w:t>”</w:t>
      </w:r>
      <w:r>
        <w:rPr>
          <w:rFonts w:hint="eastAsia" w:ascii="宋体" w:hAnsi="宋体" w:cs="宋体"/>
          <w:sz w:val="30"/>
          <w:szCs w:val="30"/>
        </w:rPr>
        <w:t>行动，加强农村摩托车、电动自行车骑乘人员不戴安全头盔的现场查处力度，提升整体戴盔率；是否集中整治大中型客车乘客不使用安全带违法行为，着力提升乘客安全带使用率。是否固化协同联动机制，重拳打击酒驾醉驾、飙车炸街、超员、超载超限、非法营运、工程运输车野蛮驾驶等违法行为。</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是否全面摸排学校学生上下学乘车情况，严禁乘坐超员载客、非法营运车辆、黑校车以及轻型货车、拖拉机、三轮车等非载客车辆，压实学校交通安全教育宣传责任，引导学生家长落实监护责任，动态清零违法行为；是否深化轻型货车</w:t>
      </w:r>
      <w:r>
        <w:rPr>
          <w:rFonts w:ascii="??" w:eastAsia="Times New Roman"/>
          <w:sz w:val="30"/>
          <w:szCs w:val="30"/>
        </w:rPr>
        <w:t>“</w:t>
      </w:r>
      <w:r>
        <w:rPr>
          <w:rFonts w:hint="eastAsia" w:ascii="宋体" w:hAnsi="宋体" w:cs="宋体"/>
          <w:sz w:val="30"/>
          <w:szCs w:val="30"/>
        </w:rPr>
        <w:t>大吨小标</w:t>
      </w:r>
      <w:r>
        <w:rPr>
          <w:rFonts w:ascii="??" w:eastAsia="Times New Roman"/>
          <w:sz w:val="30"/>
          <w:szCs w:val="30"/>
        </w:rPr>
        <w:t>”</w:t>
      </w:r>
      <w:r>
        <w:rPr>
          <w:rFonts w:hint="eastAsia" w:ascii="宋体" w:hAnsi="宋体" w:cs="宋体"/>
          <w:sz w:val="30"/>
          <w:szCs w:val="30"/>
        </w:rPr>
        <w:t>及货车超限超载治理。</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是否推进道路安全设施和交通秩序管理精细化提升行动，持续深化隐患路口路段</w:t>
      </w:r>
      <w:r>
        <w:rPr>
          <w:rFonts w:ascii="??" w:eastAsia="Times New Roman"/>
          <w:sz w:val="30"/>
          <w:szCs w:val="30"/>
        </w:rPr>
        <w:t>“</w:t>
      </w:r>
      <w:r>
        <w:rPr>
          <w:rFonts w:hint="eastAsia" w:ascii="宋体" w:hAnsi="宋体" w:cs="宋体"/>
          <w:sz w:val="30"/>
          <w:szCs w:val="30"/>
        </w:rPr>
        <w:t>三必上</w:t>
      </w:r>
      <w:r>
        <w:rPr>
          <w:rFonts w:ascii="??" w:eastAsia="Times New Roman"/>
          <w:sz w:val="30"/>
          <w:szCs w:val="30"/>
        </w:rPr>
        <w:t>”“</w:t>
      </w:r>
      <w:r>
        <w:rPr>
          <w:rFonts w:hint="eastAsia" w:ascii="宋体" w:hAnsi="宋体" w:cs="宋体"/>
          <w:sz w:val="30"/>
          <w:szCs w:val="30"/>
        </w:rPr>
        <w:t>五必上</w:t>
      </w:r>
      <w:r>
        <w:rPr>
          <w:rFonts w:ascii="??" w:eastAsia="Times New Roman"/>
          <w:sz w:val="30"/>
          <w:szCs w:val="30"/>
        </w:rPr>
        <w:t>”</w:t>
      </w:r>
      <w:r>
        <w:rPr>
          <w:rFonts w:hint="eastAsia" w:ascii="宋体" w:hAnsi="宋体" w:cs="宋体"/>
          <w:sz w:val="30"/>
          <w:szCs w:val="30"/>
        </w:rPr>
        <w:t>交通安全改造。是否深入排查安全风险突出的易结冰积雪、团雾多发路段以及临水临崖、急弯陡坡等路段，并在</w:t>
      </w:r>
      <w:r>
        <w:rPr>
          <w:rFonts w:ascii="??" w:hAnsi="??"/>
          <w:sz w:val="30"/>
          <w:szCs w:val="30"/>
        </w:rPr>
        <w:t>2023</w:t>
      </w:r>
      <w:r>
        <w:rPr>
          <w:rFonts w:hint="eastAsia" w:ascii="宋体" w:hAnsi="宋体" w:cs="宋体"/>
          <w:sz w:val="30"/>
          <w:szCs w:val="30"/>
        </w:rPr>
        <w:t>年春运前完成隐患整改。</w:t>
      </w:r>
    </w:p>
    <w:p>
      <w:pPr>
        <w:spacing w:line="560" w:lineRule="exact"/>
        <w:ind w:firstLine="600" w:firstLineChars="200"/>
        <w:contextualSpacing/>
        <w:rPr>
          <w:rFonts w:ascii="??"/>
          <w:sz w:val="30"/>
          <w:szCs w:val="30"/>
        </w:rPr>
      </w:pPr>
      <w:r>
        <w:rPr>
          <w:rFonts w:ascii="??" w:hAnsi="??"/>
          <w:sz w:val="30"/>
          <w:szCs w:val="30"/>
        </w:rPr>
        <w:t>5.</w:t>
      </w:r>
      <w:r>
        <w:rPr>
          <w:rFonts w:hint="eastAsia" w:ascii="宋体" w:hAnsi="宋体" w:cs="宋体"/>
          <w:sz w:val="30"/>
          <w:szCs w:val="30"/>
        </w:rPr>
        <w:t>是否广泛发动驻村辅警、网格员以及乡镇综合执法队等力量，</w:t>
      </w:r>
      <w:r>
        <w:rPr>
          <w:rFonts w:ascii="??" w:eastAsia="Times New Roman"/>
          <w:sz w:val="30"/>
          <w:szCs w:val="30"/>
        </w:rPr>
        <w:t>“</w:t>
      </w:r>
      <w:r>
        <w:rPr>
          <w:rFonts w:hint="eastAsia" w:ascii="宋体" w:hAnsi="宋体" w:cs="宋体"/>
          <w:sz w:val="30"/>
          <w:szCs w:val="30"/>
        </w:rPr>
        <w:t>登门入户</w:t>
      </w:r>
      <w:r>
        <w:rPr>
          <w:rFonts w:ascii="??" w:eastAsia="Times New Roman"/>
          <w:sz w:val="30"/>
          <w:szCs w:val="30"/>
        </w:rPr>
        <w:t>”</w:t>
      </w:r>
      <w:r>
        <w:rPr>
          <w:rFonts w:hint="eastAsia" w:ascii="宋体" w:hAnsi="宋体" w:cs="宋体"/>
          <w:sz w:val="30"/>
          <w:szCs w:val="30"/>
        </w:rPr>
        <w:t>联合开展道路交通安全警示教育，并以</w:t>
      </w:r>
      <w:r>
        <w:rPr>
          <w:rFonts w:ascii="??" w:eastAsia="Times New Roman"/>
          <w:sz w:val="30"/>
          <w:szCs w:val="30"/>
        </w:rPr>
        <w:t>“</w:t>
      </w:r>
      <w:r>
        <w:rPr>
          <w:rFonts w:hint="eastAsia" w:ascii="宋体" w:hAnsi="宋体" w:cs="宋体"/>
          <w:sz w:val="30"/>
          <w:szCs w:val="30"/>
        </w:rPr>
        <w:t>一早一晚</w:t>
      </w:r>
      <w:r>
        <w:rPr>
          <w:rFonts w:ascii="??" w:eastAsia="Times New Roman"/>
          <w:sz w:val="30"/>
          <w:szCs w:val="30"/>
        </w:rPr>
        <w:t>”</w:t>
      </w:r>
      <w:r>
        <w:rPr>
          <w:rFonts w:hint="eastAsia" w:ascii="宋体" w:hAnsi="宋体" w:cs="宋体"/>
          <w:sz w:val="30"/>
          <w:szCs w:val="30"/>
        </w:rPr>
        <w:t>、务工人员、学生集中返乡、婚丧嫁娶、赶集赶会等为重点时段，</w:t>
      </w:r>
      <w:r>
        <w:rPr>
          <w:rFonts w:ascii="??" w:eastAsia="Times New Roman"/>
          <w:sz w:val="30"/>
          <w:szCs w:val="30"/>
        </w:rPr>
        <w:t>“</w:t>
      </w:r>
      <w:r>
        <w:rPr>
          <w:rFonts w:hint="eastAsia" w:ascii="宋体" w:hAnsi="宋体" w:cs="宋体"/>
          <w:sz w:val="30"/>
          <w:szCs w:val="30"/>
        </w:rPr>
        <w:t>守点巡线</w:t>
      </w:r>
      <w:r>
        <w:rPr>
          <w:rFonts w:ascii="??" w:eastAsia="Times New Roman"/>
          <w:sz w:val="30"/>
          <w:szCs w:val="30"/>
        </w:rPr>
        <w:t>”</w:t>
      </w:r>
      <w:r>
        <w:rPr>
          <w:rFonts w:hint="eastAsia" w:ascii="宋体" w:hAnsi="宋体" w:cs="宋体"/>
          <w:sz w:val="30"/>
          <w:szCs w:val="30"/>
        </w:rPr>
        <w:t>加强路面交通违法的查纠及教育劝导，严防违法超员、违法载人车辆出村上路。</w:t>
      </w:r>
    </w:p>
    <w:p>
      <w:pPr>
        <w:spacing w:line="560" w:lineRule="exact"/>
        <w:ind w:firstLine="600" w:firstLineChars="200"/>
        <w:contextualSpacing/>
        <w:rPr>
          <w:rFonts w:ascii="??"/>
          <w:sz w:val="30"/>
          <w:szCs w:val="30"/>
        </w:rPr>
      </w:pPr>
      <w:r>
        <w:rPr>
          <w:rFonts w:ascii="??" w:hAnsi="??"/>
          <w:sz w:val="30"/>
          <w:szCs w:val="30"/>
        </w:rPr>
        <w:t>6.</w:t>
      </w:r>
      <w:r>
        <w:rPr>
          <w:rFonts w:hint="eastAsia" w:ascii="宋体" w:hAnsi="宋体" w:cs="宋体"/>
          <w:sz w:val="30"/>
          <w:szCs w:val="30"/>
        </w:rPr>
        <w:t>是否用足用活各类媒体和公益资源，深入开展</w:t>
      </w:r>
      <w:r>
        <w:rPr>
          <w:rFonts w:ascii="??" w:eastAsia="Times New Roman"/>
          <w:sz w:val="30"/>
          <w:szCs w:val="30"/>
        </w:rPr>
        <w:t>“</w:t>
      </w:r>
      <w:r>
        <w:rPr>
          <w:rFonts w:hint="eastAsia" w:ascii="宋体" w:hAnsi="宋体" w:cs="宋体"/>
          <w:sz w:val="30"/>
          <w:szCs w:val="30"/>
        </w:rPr>
        <w:t>七进</w:t>
      </w:r>
      <w:r>
        <w:rPr>
          <w:rFonts w:ascii="??" w:eastAsia="Times New Roman"/>
          <w:sz w:val="30"/>
          <w:szCs w:val="30"/>
        </w:rPr>
        <w:t>”“</w:t>
      </w:r>
      <w:r>
        <w:rPr>
          <w:rFonts w:hint="eastAsia" w:ascii="宋体" w:hAnsi="宋体" w:cs="宋体"/>
          <w:sz w:val="30"/>
          <w:szCs w:val="30"/>
        </w:rPr>
        <w:t>美丽乡村行</w:t>
      </w:r>
      <w:r>
        <w:rPr>
          <w:rFonts w:ascii="??" w:eastAsia="Times New Roman"/>
          <w:sz w:val="30"/>
          <w:szCs w:val="30"/>
        </w:rPr>
        <w:t>”</w:t>
      </w:r>
      <w:r>
        <w:rPr>
          <w:rFonts w:hint="eastAsia" w:ascii="宋体" w:hAnsi="宋体" w:cs="宋体"/>
          <w:sz w:val="30"/>
          <w:szCs w:val="30"/>
        </w:rPr>
        <w:t>等宣讲活动，针对性加强</w:t>
      </w:r>
      <w:r>
        <w:rPr>
          <w:rFonts w:ascii="??" w:eastAsia="Times New Roman"/>
          <w:sz w:val="30"/>
          <w:szCs w:val="30"/>
        </w:rPr>
        <w:t>“</w:t>
      </w:r>
      <w:r>
        <w:rPr>
          <w:rFonts w:hint="eastAsia" w:ascii="宋体" w:hAnsi="宋体" w:cs="宋体"/>
          <w:sz w:val="30"/>
          <w:szCs w:val="30"/>
        </w:rPr>
        <w:t>一老一小</w:t>
      </w:r>
      <w:r>
        <w:rPr>
          <w:rFonts w:ascii="??" w:eastAsia="Times New Roman"/>
          <w:sz w:val="30"/>
          <w:szCs w:val="30"/>
        </w:rPr>
        <w:t>”</w:t>
      </w:r>
      <w:r>
        <w:rPr>
          <w:rFonts w:hint="eastAsia" w:ascii="宋体" w:hAnsi="宋体" w:cs="宋体"/>
          <w:sz w:val="30"/>
          <w:szCs w:val="30"/>
        </w:rPr>
        <w:t>冬季交通安全知识教育。是否持续加大警示提示力度，对突出违法车辆、高危风险企业、安全隐患进行集中曝光，深化道路交通安全宣传教育提升行动。是否指导督促学校开展道路交通安全宣传教育，通过小手拉大手，让广大家庭掌握了解冬季道路交通安全注意事项，保障学生假期道路交通安全。</w:t>
      </w:r>
    </w:p>
    <w:p>
      <w:pPr>
        <w:spacing w:line="560" w:lineRule="exact"/>
        <w:ind w:firstLine="600" w:firstLineChars="200"/>
        <w:contextualSpacing/>
        <w:rPr>
          <w:rFonts w:ascii="??"/>
          <w:sz w:val="30"/>
          <w:szCs w:val="30"/>
        </w:rPr>
      </w:pPr>
      <w:r>
        <w:rPr>
          <w:rFonts w:hint="eastAsia" w:ascii="宋体" w:hAnsi="宋体" w:cs="宋体"/>
          <w:sz w:val="30"/>
          <w:szCs w:val="30"/>
        </w:rPr>
        <w:t>（五）自建房（共</w:t>
      </w:r>
      <w:r>
        <w:rPr>
          <w:rFonts w:ascii="??" w:hAnsi="??"/>
          <w:sz w:val="30"/>
          <w:szCs w:val="30"/>
        </w:rPr>
        <w:t>4</w:t>
      </w:r>
      <w:r>
        <w:rPr>
          <w:rFonts w:hint="eastAsia" w:ascii="宋体" w:hAnsi="宋体" w:cs="宋体"/>
          <w:sz w:val="30"/>
          <w:szCs w:val="30"/>
        </w:rPr>
        <w:t>条）</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责任部门：执法局牵头负责，各村配合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经营性自建房排查是否做到全覆盖，数据录入是否真实完整，隐患判定是否准确可靠；存在重大安全隐患的经营性自建房是否严格落实管控措施，做到</w:t>
      </w:r>
      <w:r>
        <w:rPr>
          <w:rFonts w:ascii="??" w:eastAsia="Times New Roman"/>
          <w:sz w:val="30"/>
          <w:szCs w:val="30"/>
        </w:rPr>
        <w:t>“</w:t>
      </w:r>
      <w:r>
        <w:rPr>
          <w:rFonts w:hint="eastAsia" w:ascii="宋体" w:hAnsi="宋体" w:cs="宋体"/>
          <w:sz w:val="30"/>
          <w:szCs w:val="30"/>
        </w:rPr>
        <w:t>人不进危房、危房不进人</w:t>
      </w:r>
      <w:r>
        <w:rPr>
          <w:rFonts w:ascii="??" w:eastAsia="Times New Roman"/>
          <w:sz w:val="30"/>
          <w:szCs w:val="30"/>
        </w:rPr>
        <w:t>”</w:t>
      </w:r>
      <w:r>
        <w:rPr>
          <w:rFonts w:hint="eastAsia" w:ascii="宋体" w:hAnsi="宋体" w:cs="宋体"/>
          <w:sz w:val="30"/>
          <w:szCs w:val="30"/>
        </w:rPr>
        <w:t>；是否按照省明确的</w:t>
      </w:r>
      <w:r>
        <w:rPr>
          <w:rFonts w:ascii="??" w:hAnsi="??"/>
          <w:sz w:val="30"/>
          <w:szCs w:val="30"/>
        </w:rPr>
        <w:t>9</w:t>
      </w:r>
      <w:r>
        <w:rPr>
          <w:rFonts w:hint="eastAsia" w:ascii="宋体" w:hAnsi="宋体" w:cs="宋体"/>
          <w:sz w:val="30"/>
          <w:szCs w:val="30"/>
        </w:rPr>
        <w:t>种重点自建房，推进所有自建房安全隐患排查。</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是否加快推进初判存在安全隐患的自建房安全鉴定，并根据鉴定结果</w:t>
      </w:r>
      <w:r>
        <w:rPr>
          <w:rFonts w:ascii="??" w:eastAsia="Times New Roman"/>
          <w:sz w:val="30"/>
          <w:szCs w:val="30"/>
        </w:rPr>
        <w:t>“</w:t>
      </w:r>
      <w:r>
        <w:rPr>
          <w:rFonts w:hint="eastAsia" w:ascii="宋体" w:hAnsi="宋体" w:cs="宋体"/>
          <w:sz w:val="30"/>
          <w:szCs w:val="30"/>
        </w:rPr>
        <w:t>一栋一策</w:t>
      </w:r>
      <w:r>
        <w:rPr>
          <w:rFonts w:ascii="??" w:eastAsia="Times New Roman"/>
          <w:sz w:val="30"/>
          <w:szCs w:val="30"/>
        </w:rPr>
        <w:t>”</w:t>
      </w:r>
      <w:r>
        <w:rPr>
          <w:rFonts w:hint="eastAsia" w:ascii="宋体" w:hAnsi="宋体" w:cs="宋体"/>
          <w:sz w:val="30"/>
          <w:szCs w:val="30"/>
        </w:rPr>
        <w:t>制定整治方案，实施清单管理、动态销号。</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是否认真开展隐患建筑的评估、鉴定和整治工作，按时保质保量完成既有隐患建筑年度整治目标。</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是否推进房屋使用安全教育，增强群众房屋安全意识；是否针对大风、冰雹、暴雪等极端天气，做好城市低洼、临河地段自建房房屋安全防范工作。</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（六）建筑施工（共</w:t>
      </w:r>
      <w:r>
        <w:rPr>
          <w:rFonts w:ascii="??" w:hAnsi="??"/>
          <w:sz w:val="30"/>
          <w:szCs w:val="30"/>
        </w:rPr>
        <w:t>7</w:t>
      </w:r>
      <w:r>
        <w:rPr>
          <w:rFonts w:hint="eastAsia" w:ascii="宋体" w:hAnsi="宋体" w:cs="宋体"/>
          <w:sz w:val="30"/>
          <w:szCs w:val="30"/>
        </w:rPr>
        <w:t>条）</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责任部门：执法局牵头负责，各村配合</w:t>
      </w:r>
    </w:p>
    <w:p>
      <w:pPr>
        <w:adjustRightInd w:val="0"/>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是否存在违法转包分包、以包代管、安全投入不到位、安全保障体系不健全、降低施工安全防护等问题；是否按规定配备监理人员、审查专项施工方案、组织安全隐患整改。</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是否制定预防高处坠落的安全技术措施，高处作业人员是否正确佩戴和使用安全防护用具，临边、洞口防护是否到位。</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防滑鞋、防护手套等防滑、防冻产品是否配备合格产品并正确使用。基坑及支护、高边坡、高支模、脚手架、操作平台、塔机攀爬、临边洞口等存在高坠及坍塌风险部位安全防护措施是否到位。</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施工单位是否盲目抢赶工期、野蛮施工；是否存在安全保障体系不健全，特别是安全管理机构、安全生产责任制度、安全生产岗位清单、管理档案等不健全。</w:t>
      </w:r>
    </w:p>
    <w:p>
      <w:pPr>
        <w:spacing w:line="560" w:lineRule="exact"/>
        <w:ind w:firstLine="600" w:firstLineChars="200"/>
        <w:contextualSpacing/>
        <w:rPr>
          <w:rFonts w:ascii="??"/>
          <w:sz w:val="30"/>
          <w:szCs w:val="30"/>
        </w:rPr>
      </w:pPr>
      <w:r>
        <w:rPr>
          <w:rFonts w:ascii="??" w:hAnsi="??"/>
          <w:sz w:val="30"/>
          <w:szCs w:val="30"/>
        </w:rPr>
        <w:t>5.</w:t>
      </w:r>
      <w:r>
        <w:rPr>
          <w:rFonts w:hint="eastAsia" w:ascii="宋体" w:hAnsi="宋体" w:cs="宋体"/>
          <w:sz w:val="30"/>
          <w:szCs w:val="30"/>
        </w:rPr>
        <w:t>是否建立消防安全责任制和治安防火值班制度；工地和集宿区是否存在违规使用大功率照明、取暖、电加热器具，乱拉、乱接用电设施，门窗处设置影响逃生的铁栅栏等问题；施工现场动火作业是否符合相应的操作规程和标准规范要求，安全管理是否到位。</w:t>
      </w:r>
    </w:p>
    <w:p>
      <w:pPr>
        <w:spacing w:line="560" w:lineRule="exact"/>
        <w:ind w:firstLine="600" w:firstLineChars="200"/>
        <w:contextualSpacing/>
        <w:rPr>
          <w:rFonts w:ascii="??"/>
          <w:sz w:val="30"/>
          <w:szCs w:val="30"/>
        </w:rPr>
      </w:pPr>
      <w:r>
        <w:rPr>
          <w:rFonts w:ascii="??" w:hAnsi="??"/>
          <w:sz w:val="30"/>
          <w:szCs w:val="30"/>
        </w:rPr>
        <w:t>6.</w:t>
      </w:r>
      <w:r>
        <w:rPr>
          <w:rFonts w:hint="eastAsia" w:ascii="宋体" w:hAnsi="宋体" w:cs="宋体"/>
          <w:sz w:val="30"/>
          <w:szCs w:val="30"/>
        </w:rPr>
        <w:t>对农村自建房安全监管是否落实规划审批、新建和维修施工等全过程监管，是否落实从业人员安全教育培训，配齐配全安全帽、安全绳等防护措施，是否加强危险作业管理，严格技术交底。</w:t>
      </w:r>
    </w:p>
    <w:p>
      <w:pPr>
        <w:spacing w:line="560" w:lineRule="exact"/>
        <w:ind w:firstLine="600" w:firstLineChars="200"/>
        <w:contextualSpacing/>
        <w:rPr>
          <w:rFonts w:ascii="??"/>
          <w:sz w:val="30"/>
          <w:szCs w:val="30"/>
        </w:rPr>
      </w:pPr>
      <w:r>
        <w:rPr>
          <w:rFonts w:ascii="??" w:hAnsi="??"/>
          <w:sz w:val="30"/>
          <w:szCs w:val="30"/>
        </w:rPr>
        <w:t>7.</w:t>
      </w:r>
      <w:r>
        <w:rPr>
          <w:rFonts w:hint="eastAsia" w:ascii="宋体" w:hAnsi="宋体" w:cs="宋体"/>
          <w:sz w:val="30"/>
          <w:szCs w:val="30"/>
        </w:rPr>
        <w:t>对新进工人的三级安全教育是否到位，施工安全技术交底是否到位，根据工种安排对工人进行专项安全技能培训和事故案例教育是否到位。</w:t>
      </w:r>
    </w:p>
    <w:p>
      <w:pPr>
        <w:spacing w:line="560" w:lineRule="exact"/>
        <w:ind w:firstLine="600" w:firstLineChars="200"/>
        <w:contextualSpacing/>
        <w:rPr>
          <w:rFonts w:ascii="??"/>
          <w:sz w:val="30"/>
          <w:szCs w:val="30"/>
        </w:rPr>
      </w:pPr>
      <w:r>
        <w:rPr>
          <w:rFonts w:hint="eastAsia" w:ascii="宋体" w:hAnsi="宋体" w:cs="宋体"/>
          <w:sz w:val="30"/>
          <w:szCs w:val="30"/>
        </w:rPr>
        <w:t>（七）消防（共</w:t>
      </w:r>
      <w:r>
        <w:rPr>
          <w:rFonts w:ascii="??" w:hAnsi="??"/>
          <w:sz w:val="30"/>
          <w:szCs w:val="30"/>
        </w:rPr>
        <w:t>6</w:t>
      </w:r>
      <w:r>
        <w:rPr>
          <w:rFonts w:hint="eastAsia" w:ascii="宋体" w:hAnsi="宋体" w:cs="宋体"/>
          <w:sz w:val="30"/>
          <w:szCs w:val="30"/>
        </w:rPr>
        <w:t>条）</w:t>
      </w:r>
    </w:p>
    <w:p>
      <w:pPr>
        <w:adjustRightInd w:val="0"/>
        <w:spacing w:line="560" w:lineRule="exact"/>
        <w:ind w:firstLine="600" w:firstLineChars="200"/>
        <w:contextualSpacing/>
        <w:rPr>
          <w:rFonts w:ascii="??"/>
          <w:sz w:val="30"/>
          <w:szCs w:val="30"/>
        </w:rPr>
      </w:pPr>
      <w:r>
        <w:rPr>
          <w:rFonts w:hint="eastAsia" w:ascii="宋体" w:hAnsi="宋体" w:cs="宋体"/>
          <w:sz w:val="30"/>
          <w:szCs w:val="30"/>
        </w:rPr>
        <w:t>责任部门：消防站牵头负责，派出所、安监、中小学、民政、卫生院等单位配合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大型商业综合体、宾馆饭店、公共娱乐场所、文博单位、宗教活动场所、学校及校外培训机构、医疗场所、养老院、人员密集场所、劳动密集型企业等人员密集场所是否违规锁闭、封堵、占用、堵塞安全出口或疏散通道，楼道、楼梯间是否堆放易燃、可燃物品，外墙门窗是否设置影响逃生、自然排烟和灭火救援的铁栅栏、广告牌等障碍物；消防车通道是否施划消防车通道标线、标志并设置警示牌，消防车通道、灭火救援场地是否被占用、堵塞。是否因疫情原因在夜间人为封闭相关出口，且一</w:t>
      </w:r>
      <w:r>
        <w:rPr>
          <w:rFonts w:ascii="??" w:eastAsia="Times New Roman"/>
          <w:sz w:val="30"/>
          <w:szCs w:val="30"/>
        </w:rPr>
        <w:t>“</w:t>
      </w:r>
      <w:r>
        <w:rPr>
          <w:rFonts w:hint="eastAsia" w:ascii="宋体" w:hAnsi="宋体" w:cs="宋体"/>
          <w:sz w:val="30"/>
          <w:szCs w:val="30"/>
        </w:rPr>
        <w:t>锁</w:t>
      </w:r>
      <w:r>
        <w:rPr>
          <w:rFonts w:ascii="??" w:eastAsia="Times New Roman"/>
          <w:sz w:val="30"/>
          <w:szCs w:val="30"/>
        </w:rPr>
        <w:t>”</w:t>
      </w:r>
      <w:r>
        <w:rPr>
          <w:rFonts w:hint="eastAsia" w:ascii="宋体" w:hAnsi="宋体" w:cs="宋体"/>
          <w:sz w:val="30"/>
          <w:szCs w:val="30"/>
        </w:rPr>
        <w:t>了之，无专人值班值守。</w:t>
      </w:r>
    </w:p>
    <w:p>
      <w:pPr>
        <w:spacing w:line="560" w:lineRule="exact"/>
        <w:ind w:firstLine="600" w:firstLineChars="200"/>
        <w:contextualSpacing/>
        <w:rPr>
          <w:rFonts w:ascii="??"/>
          <w:sz w:val="30"/>
          <w:szCs w:val="30"/>
        </w:rPr>
      </w:pPr>
      <w:r>
        <w:rPr>
          <w:rFonts w:ascii="??" w:hAnsi="??"/>
          <w:sz w:val="30"/>
          <w:szCs w:val="30"/>
        </w:rPr>
        <w:t xml:space="preserve">2. </w:t>
      </w:r>
      <w:r>
        <w:rPr>
          <w:rFonts w:hint="eastAsia" w:ascii="宋体" w:hAnsi="宋体" w:cs="宋体"/>
          <w:sz w:val="30"/>
          <w:szCs w:val="30"/>
        </w:rPr>
        <w:t>商超、餐饮、娱乐等场所是否造成疏散宽度不足或防火分区超面积、火灾荷载增大、消防设施不配套等问题；餐饮场所厨房是否按规定进行防火分隔，排油烟罩及烹饪部位是否按规定设置自动灭火装置，是否经常清洗烟道，烟道周边是否堆放可燃物；是否违规设置夹层、中间仓库，是否违规占用中庭、走道或室内步行街，是否存在</w:t>
      </w:r>
      <w:r>
        <w:rPr>
          <w:rFonts w:ascii="??" w:eastAsia="Times New Roman"/>
          <w:sz w:val="30"/>
          <w:szCs w:val="30"/>
        </w:rPr>
        <w:t>“</w:t>
      </w:r>
      <w:r>
        <w:rPr>
          <w:rFonts w:hint="eastAsia" w:ascii="宋体" w:hAnsi="宋体" w:cs="宋体"/>
          <w:sz w:val="30"/>
          <w:szCs w:val="30"/>
        </w:rPr>
        <w:t>三合一</w:t>
      </w:r>
      <w:r>
        <w:rPr>
          <w:rFonts w:ascii="??" w:eastAsia="Times New Roman"/>
          <w:sz w:val="30"/>
          <w:szCs w:val="30"/>
        </w:rPr>
        <w:t>”</w:t>
      </w:r>
      <w:r>
        <w:rPr>
          <w:rFonts w:hint="eastAsia" w:ascii="宋体" w:hAnsi="宋体" w:cs="宋体"/>
          <w:sz w:val="30"/>
          <w:szCs w:val="30"/>
        </w:rPr>
        <w:t>现象；是否使用易燃可燃夹芯彩钢板在屋面、地下室等区域搭建临时用房或分隔功能分区，仿真</w:t>
      </w:r>
      <w:r>
        <w:rPr>
          <w:rFonts w:ascii="??" w:eastAsia="Times New Roman"/>
          <w:sz w:val="30"/>
          <w:szCs w:val="30"/>
        </w:rPr>
        <w:t>“</w:t>
      </w:r>
      <w:r>
        <w:rPr>
          <w:rFonts w:hint="eastAsia" w:ascii="宋体" w:hAnsi="宋体" w:cs="宋体"/>
          <w:sz w:val="30"/>
          <w:szCs w:val="30"/>
        </w:rPr>
        <w:t>绿植</w:t>
      </w:r>
      <w:r>
        <w:rPr>
          <w:rFonts w:ascii="??" w:eastAsia="Times New Roman"/>
          <w:sz w:val="30"/>
          <w:szCs w:val="30"/>
        </w:rPr>
        <w:t>”“</w:t>
      </w:r>
      <w:r>
        <w:rPr>
          <w:rFonts w:hint="eastAsia" w:ascii="宋体" w:hAnsi="宋体" w:cs="宋体"/>
          <w:sz w:val="30"/>
          <w:szCs w:val="30"/>
        </w:rPr>
        <w:t>树木</w:t>
      </w:r>
      <w:r>
        <w:rPr>
          <w:rFonts w:ascii="??" w:eastAsia="Times New Roman"/>
          <w:sz w:val="30"/>
          <w:szCs w:val="30"/>
        </w:rPr>
        <w:t>”</w:t>
      </w:r>
      <w:r>
        <w:rPr>
          <w:rFonts w:hint="eastAsia" w:ascii="宋体" w:hAnsi="宋体" w:cs="宋体"/>
          <w:sz w:val="30"/>
          <w:szCs w:val="30"/>
        </w:rPr>
        <w:t>等装饰装修是否大量使用易燃可燃装饰材料。营业期间是否违规进行电焊、气焊、切割等明火作业；电动自行车或其蓄电池是否违规停放或充电。</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室内消火栓系统、自动灭火系统、火灾自动报警系统、机械防排烟系统、防火卷帘等消防设施、器材以及消防安全标志是否保持完好有效，是否存在影响火灾探测器、洒水喷头、排烟口、消火栓等消防设施正常使用的障碍物，是否存在影响消防水池、消防电源持续可靠供水、供电的缺陷。</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是否根据业态、危险源等制定针对性应急预案并定期组织演练，是否组织过全员消防安全教育和培训，员工是否做到</w:t>
      </w:r>
      <w:r>
        <w:rPr>
          <w:rFonts w:ascii="??" w:eastAsia="Times New Roman"/>
          <w:sz w:val="30"/>
          <w:szCs w:val="30"/>
        </w:rPr>
        <w:t>“</w:t>
      </w:r>
      <w:r>
        <w:rPr>
          <w:rFonts w:hint="eastAsia" w:ascii="宋体" w:hAnsi="宋体" w:cs="宋体"/>
          <w:sz w:val="30"/>
          <w:szCs w:val="30"/>
        </w:rPr>
        <w:t>一懂三会</w:t>
      </w:r>
      <w:r>
        <w:rPr>
          <w:rFonts w:ascii="??" w:eastAsia="Times New Roman"/>
          <w:sz w:val="30"/>
          <w:szCs w:val="30"/>
        </w:rPr>
        <w:t>”</w:t>
      </w:r>
      <w:r>
        <w:rPr>
          <w:rFonts w:hint="eastAsia" w:ascii="宋体" w:hAnsi="宋体" w:cs="宋体"/>
          <w:sz w:val="30"/>
          <w:szCs w:val="30"/>
        </w:rPr>
        <w:t>（懂得所在场所火灾危险性，会报警、会逃生、会扑救初起火灾）。</w:t>
      </w:r>
    </w:p>
    <w:p>
      <w:pPr>
        <w:spacing w:line="560" w:lineRule="exact"/>
        <w:ind w:firstLine="600" w:firstLineChars="200"/>
        <w:contextualSpacing/>
        <w:rPr>
          <w:rFonts w:ascii="??"/>
          <w:sz w:val="30"/>
          <w:szCs w:val="30"/>
        </w:rPr>
      </w:pPr>
      <w:r>
        <w:rPr>
          <w:rFonts w:ascii="??" w:hAnsi="??"/>
          <w:sz w:val="30"/>
          <w:szCs w:val="30"/>
        </w:rPr>
        <w:t>5.</w:t>
      </w:r>
      <w:r>
        <w:rPr>
          <w:rFonts w:hint="eastAsia" w:ascii="宋体" w:hAnsi="宋体" w:cs="宋体"/>
          <w:sz w:val="30"/>
          <w:szCs w:val="30"/>
        </w:rPr>
        <w:t>消防安全重点单位是否按照标准建立微型消防站；是否对场所进行现场拉动测试，微型消防站队员是否能及时到场并了解初起火灾处置流程及方法。</w:t>
      </w:r>
    </w:p>
    <w:p>
      <w:pPr>
        <w:spacing w:line="560" w:lineRule="exact"/>
        <w:ind w:firstLine="600" w:firstLineChars="200"/>
        <w:contextualSpacing/>
        <w:rPr>
          <w:rFonts w:ascii="??"/>
          <w:sz w:val="30"/>
          <w:szCs w:val="30"/>
        </w:rPr>
      </w:pPr>
      <w:r>
        <w:rPr>
          <w:rFonts w:ascii="??" w:hAnsi="??"/>
          <w:sz w:val="30"/>
          <w:szCs w:val="30"/>
        </w:rPr>
        <w:t>6.</w:t>
      </w:r>
      <w:r>
        <w:rPr>
          <w:rFonts w:hint="eastAsia" w:ascii="宋体" w:hAnsi="宋体" w:cs="宋体"/>
          <w:sz w:val="30"/>
          <w:szCs w:val="30"/>
        </w:rPr>
        <w:t>群租房等人员密集居住场所是否存在违法违规改造行为，是否使用易燃可燃夹芯材料彩钢板进行违规分割，影响人员疏散、逃生和消防救援。</w:t>
      </w:r>
    </w:p>
    <w:p>
      <w:pPr>
        <w:spacing w:line="560" w:lineRule="exact"/>
        <w:ind w:firstLine="600" w:firstLineChars="200"/>
        <w:contextualSpacing/>
        <w:rPr>
          <w:rFonts w:ascii="??"/>
          <w:sz w:val="30"/>
          <w:szCs w:val="30"/>
        </w:rPr>
      </w:pPr>
      <w:r>
        <w:rPr>
          <w:rFonts w:hint="eastAsia" w:ascii="宋体" w:hAnsi="宋体" w:cs="宋体"/>
          <w:sz w:val="30"/>
          <w:szCs w:val="30"/>
        </w:rPr>
        <w:t>（八）中小型工业企业（共</w:t>
      </w:r>
      <w:r>
        <w:rPr>
          <w:rFonts w:ascii="??" w:hAnsi="??"/>
          <w:sz w:val="30"/>
          <w:szCs w:val="30"/>
        </w:rPr>
        <w:t>13</w:t>
      </w:r>
      <w:r>
        <w:rPr>
          <w:rFonts w:hint="eastAsia" w:ascii="宋体" w:hAnsi="宋体" w:cs="宋体"/>
          <w:sz w:val="30"/>
          <w:szCs w:val="30"/>
        </w:rPr>
        <w:t>条）</w:t>
      </w:r>
    </w:p>
    <w:p>
      <w:pPr>
        <w:spacing w:line="560" w:lineRule="exact"/>
        <w:ind w:firstLine="600" w:firstLineChars="200"/>
        <w:contextualSpacing/>
        <w:rPr>
          <w:rFonts w:ascii="??"/>
          <w:sz w:val="30"/>
          <w:szCs w:val="30"/>
        </w:rPr>
      </w:pPr>
      <w:r>
        <w:rPr>
          <w:rFonts w:hint="eastAsia" w:ascii="宋体" w:hAnsi="宋体" w:cs="宋体"/>
          <w:sz w:val="30"/>
          <w:szCs w:val="30"/>
        </w:rPr>
        <w:t>责任部门：安监所牵头负责，消防站、市场局配合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仓库内是否使用明火，所有电线是否穿管固定敷设；可燃材料仓库内是否设置配电箱及开关；电动的叉车、平板车、自行车等充电场所是否设置在厂房（仓库）内。</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厂房、仓库内是否设置安全疏散通道和安全出口，是否有醒目的指示标识，消防通道、安全疏散通道和安全出口是否保持畅通；厂房、仓库周边是否占用防火间距堆放物品。</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生产安全事故应急预案是否包含火灾现场处置方案，是否组织员工开展防火等安全技能培训，是否开展应急逃生演练。</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是否向具备危化品生产经营资质的单位采购危化品，是否取得安全技术说明书和化学品安全标签，是否建立危化品购买、出入库、使用、销毁登记制度并严格实施。</w:t>
      </w:r>
    </w:p>
    <w:p>
      <w:pPr>
        <w:spacing w:line="560" w:lineRule="exact"/>
        <w:ind w:firstLine="600" w:firstLineChars="200"/>
        <w:contextualSpacing/>
        <w:rPr>
          <w:rFonts w:ascii="??"/>
          <w:sz w:val="30"/>
          <w:szCs w:val="30"/>
        </w:rPr>
      </w:pPr>
      <w:r>
        <w:rPr>
          <w:rFonts w:ascii="??" w:hAnsi="??"/>
          <w:sz w:val="30"/>
          <w:szCs w:val="30"/>
        </w:rPr>
        <w:t>5.</w:t>
      </w:r>
      <w:r>
        <w:rPr>
          <w:rFonts w:hint="eastAsia" w:ascii="宋体" w:hAnsi="宋体" w:cs="宋体"/>
          <w:sz w:val="30"/>
          <w:szCs w:val="30"/>
        </w:rPr>
        <w:t>是否规范存放危化品，是否存在超量、超范围储存以及禁忌物质混放混存等问题；作业现场当天未使用完的危化品是否及时妥善处置，是否随意放置在生产现场。</w:t>
      </w:r>
    </w:p>
    <w:p>
      <w:pPr>
        <w:spacing w:line="560" w:lineRule="exact"/>
        <w:ind w:firstLine="600" w:firstLineChars="200"/>
        <w:contextualSpacing/>
        <w:rPr>
          <w:rFonts w:ascii="??"/>
          <w:sz w:val="30"/>
          <w:szCs w:val="30"/>
        </w:rPr>
      </w:pPr>
      <w:r>
        <w:rPr>
          <w:rFonts w:ascii="??" w:hAnsi="??"/>
          <w:sz w:val="30"/>
          <w:szCs w:val="30"/>
        </w:rPr>
        <w:t>6.</w:t>
      </w:r>
      <w:r>
        <w:rPr>
          <w:rFonts w:hint="eastAsia" w:ascii="宋体" w:hAnsi="宋体" w:cs="宋体"/>
          <w:sz w:val="30"/>
          <w:szCs w:val="30"/>
        </w:rPr>
        <w:t>吊装作业、高处作业、有限空间作业、大型检维修以及涉及危险物品的场所动火和临时用电等危险作业，是否严格执行有关危险作业管理制度。</w:t>
      </w:r>
    </w:p>
    <w:p>
      <w:pPr>
        <w:spacing w:line="560" w:lineRule="exact"/>
        <w:ind w:firstLine="600" w:firstLineChars="200"/>
        <w:contextualSpacing/>
        <w:rPr>
          <w:rFonts w:ascii="??"/>
          <w:sz w:val="30"/>
          <w:szCs w:val="30"/>
        </w:rPr>
      </w:pPr>
      <w:r>
        <w:rPr>
          <w:rFonts w:ascii="??" w:hAnsi="??"/>
          <w:sz w:val="30"/>
          <w:szCs w:val="30"/>
        </w:rPr>
        <w:t>7.“</w:t>
      </w:r>
      <w:r>
        <w:rPr>
          <w:rFonts w:hint="eastAsia" w:ascii="宋体" w:hAnsi="宋体" w:cs="宋体"/>
          <w:sz w:val="30"/>
          <w:szCs w:val="30"/>
        </w:rPr>
        <w:t>厂中厂</w:t>
      </w:r>
      <w:r>
        <w:rPr>
          <w:rFonts w:ascii="??" w:eastAsia="Times New Roman"/>
          <w:sz w:val="30"/>
          <w:szCs w:val="30"/>
        </w:rPr>
        <w:t>”</w:t>
      </w:r>
      <w:r>
        <w:rPr>
          <w:rFonts w:hint="eastAsia" w:ascii="宋体" w:hAnsi="宋体" w:cs="宋体"/>
          <w:sz w:val="30"/>
          <w:szCs w:val="30"/>
        </w:rPr>
        <w:t>出租方是否对承租方的安全生产条件进行严格把关，是否将厂房、场所和设备出租给装备落后、风险较高、管理混乱等不具备安全生产条件的企业和个人；是否充分了解承租方的生产工艺、原料产品、设备设施，是否为其提供符合相关安全标准规范要求的条件。</w:t>
      </w:r>
    </w:p>
    <w:p>
      <w:pPr>
        <w:spacing w:line="560" w:lineRule="exact"/>
        <w:ind w:firstLine="600" w:firstLineChars="200"/>
        <w:contextualSpacing/>
        <w:rPr>
          <w:rFonts w:ascii="??"/>
          <w:sz w:val="30"/>
          <w:szCs w:val="30"/>
        </w:rPr>
      </w:pPr>
      <w:r>
        <w:rPr>
          <w:rFonts w:ascii="??" w:hAnsi="??"/>
          <w:sz w:val="30"/>
          <w:szCs w:val="30"/>
        </w:rPr>
        <w:t>8.</w:t>
      </w:r>
      <w:r>
        <w:rPr>
          <w:rFonts w:hint="eastAsia" w:ascii="宋体" w:hAnsi="宋体" w:cs="宋体"/>
          <w:sz w:val="30"/>
          <w:szCs w:val="30"/>
        </w:rPr>
        <w:t>出租方和承租方是否签订安全生产协议，明确各方安全责任；出租方是否提供符合安全要求的厂房附属设施设备，是否明确出租区域和公共区域的安全管理职责，是否对安全协议落实情况开展经常性检查；同一生产区域涉及两家以上承租方的，出租方是否明确各承租方的职责，是否将可能危及其他承租方的生产作业行为设置在同一厂房（车间）内；承租方是否严格履行安全生产协议，是否存在违章搭建、违规分割、乱堆乱放、私自改变生产工艺等行为。</w:t>
      </w:r>
    </w:p>
    <w:p>
      <w:pPr>
        <w:spacing w:line="560" w:lineRule="exact"/>
        <w:ind w:firstLine="600" w:firstLineChars="200"/>
        <w:contextualSpacing/>
        <w:rPr>
          <w:rFonts w:ascii="??"/>
          <w:sz w:val="30"/>
          <w:szCs w:val="30"/>
        </w:rPr>
      </w:pPr>
      <w:r>
        <w:rPr>
          <w:rFonts w:ascii="??" w:hAnsi="??"/>
          <w:sz w:val="30"/>
          <w:szCs w:val="30"/>
        </w:rPr>
        <w:t>9.</w:t>
      </w:r>
      <w:r>
        <w:rPr>
          <w:rFonts w:hint="eastAsia" w:ascii="宋体" w:hAnsi="宋体" w:cs="宋体"/>
          <w:sz w:val="30"/>
          <w:szCs w:val="30"/>
        </w:rPr>
        <w:t>是否建立全员安全生产责任制，是否明确企业、车间、班组各层级管理人员的岗位安全生产职责，是否明确专兼职安全员，是否定期开展风险管控措施落实情况检查。</w:t>
      </w:r>
    </w:p>
    <w:p>
      <w:pPr>
        <w:spacing w:line="560" w:lineRule="exact"/>
        <w:ind w:firstLine="600" w:firstLineChars="200"/>
        <w:contextualSpacing/>
        <w:rPr>
          <w:rFonts w:ascii="??"/>
          <w:sz w:val="30"/>
          <w:szCs w:val="30"/>
        </w:rPr>
      </w:pPr>
      <w:r>
        <w:rPr>
          <w:rFonts w:ascii="??" w:hAnsi="??"/>
          <w:sz w:val="30"/>
          <w:szCs w:val="30"/>
        </w:rPr>
        <w:t>10.</w:t>
      </w:r>
      <w:r>
        <w:rPr>
          <w:rFonts w:hint="eastAsia" w:ascii="宋体" w:hAnsi="宋体" w:cs="宋体"/>
          <w:sz w:val="30"/>
          <w:szCs w:val="30"/>
        </w:rPr>
        <w:t>改变仓库用途、转为生产厂房使用时，是否对其建筑荷载、防火间隔等条件进行重新确认，确保符合相应的标准规范要求。</w:t>
      </w:r>
    </w:p>
    <w:p>
      <w:pPr>
        <w:spacing w:line="560" w:lineRule="exact"/>
        <w:ind w:firstLine="600" w:firstLineChars="200"/>
        <w:contextualSpacing/>
        <w:rPr>
          <w:rFonts w:ascii="??"/>
          <w:sz w:val="30"/>
          <w:szCs w:val="30"/>
        </w:rPr>
      </w:pPr>
      <w:r>
        <w:rPr>
          <w:rFonts w:ascii="??" w:hAnsi="??"/>
          <w:sz w:val="30"/>
          <w:szCs w:val="30"/>
        </w:rPr>
        <w:t>11.</w:t>
      </w:r>
      <w:r>
        <w:rPr>
          <w:rFonts w:hint="eastAsia" w:ascii="宋体" w:hAnsi="宋体" w:cs="宋体"/>
          <w:sz w:val="30"/>
          <w:szCs w:val="30"/>
        </w:rPr>
        <w:t>所有电线是否穿管固定敷设；电气线路是否规范连接和安装断路器等保护装置，电气设备是否按规定接地。</w:t>
      </w:r>
    </w:p>
    <w:p>
      <w:pPr>
        <w:spacing w:line="560" w:lineRule="exact"/>
        <w:ind w:firstLine="600" w:firstLineChars="200"/>
        <w:contextualSpacing/>
        <w:rPr>
          <w:rFonts w:ascii="??"/>
          <w:sz w:val="30"/>
          <w:szCs w:val="30"/>
        </w:rPr>
      </w:pPr>
      <w:r>
        <w:rPr>
          <w:rFonts w:ascii="??" w:hAnsi="??"/>
          <w:sz w:val="30"/>
          <w:szCs w:val="30"/>
        </w:rPr>
        <w:t>12.</w:t>
      </w:r>
      <w:r>
        <w:rPr>
          <w:rFonts w:hint="eastAsia" w:ascii="宋体" w:hAnsi="宋体" w:cs="宋体"/>
          <w:sz w:val="30"/>
          <w:szCs w:val="30"/>
        </w:rPr>
        <w:t>安全设备是否进行经常性维护、保养，并定期检测，保证正常运转；机械设备防护罩等安全设备设施是否正确安装和使用。</w:t>
      </w:r>
    </w:p>
    <w:p>
      <w:pPr>
        <w:spacing w:line="560" w:lineRule="exact"/>
        <w:ind w:firstLine="600" w:firstLineChars="200"/>
        <w:contextualSpacing/>
        <w:rPr>
          <w:rFonts w:ascii="??"/>
          <w:sz w:val="30"/>
          <w:szCs w:val="30"/>
        </w:rPr>
      </w:pPr>
      <w:r>
        <w:rPr>
          <w:rFonts w:ascii="??" w:hAnsi="??"/>
          <w:sz w:val="30"/>
          <w:szCs w:val="30"/>
        </w:rPr>
        <w:t>13.</w:t>
      </w:r>
      <w:r>
        <w:rPr>
          <w:rFonts w:hint="eastAsia" w:ascii="宋体" w:hAnsi="宋体" w:cs="宋体"/>
          <w:sz w:val="30"/>
          <w:szCs w:val="30"/>
        </w:rPr>
        <w:t>是否开展工业企业风险报告，建立安全风险辨识管控制度和风险档案。</w:t>
      </w:r>
    </w:p>
    <w:p>
      <w:pPr>
        <w:spacing w:line="560" w:lineRule="exact"/>
        <w:ind w:firstLine="600" w:firstLineChars="200"/>
        <w:contextualSpacing/>
        <w:rPr>
          <w:rFonts w:ascii="??"/>
          <w:sz w:val="30"/>
          <w:szCs w:val="30"/>
        </w:rPr>
      </w:pPr>
      <w:r>
        <w:rPr>
          <w:rFonts w:hint="eastAsia" w:ascii="宋体" w:hAnsi="宋体" w:cs="宋体"/>
          <w:sz w:val="30"/>
          <w:szCs w:val="30"/>
        </w:rPr>
        <w:t>（九）特种设备（共</w:t>
      </w:r>
      <w:r>
        <w:rPr>
          <w:rFonts w:ascii="??" w:hAnsi="??"/>
          <w:sz w:val="30"/>
          <w:szCs w:val="30"/>
        </w:rPr>
        <w:t>8</w:t>
      </w:r>
      <w:r>
        <w:rPr>
          <w:rFonts w:hint="eastAsia" w:ascii="宋体" w:hAnsi="宋体" w:cs="宋体"/>
          <w:sz w:val="30"/>
          <w:szCs w:val="30"/>
        </w:rPr>
        <w:t>条）</w:t>
      </w:r>
    </w:p>
    <w:p>
      <w:pPr>
        <w:spacing w:line="560" w:lineRule="exact"/>
        <w:ind w:firstLine="600" w:firstLineChars="200"/>
        <w:contextualSpacing/>
        <w:rPr>
          <w:rFonts w:ascii="??"/>
          <w:sz w:val="30"/>
          <w:szCs w:val="30"/>
        </w:rPr>
      </w:pPr>
      <w:r>
        <w:rPr>
          <w:rFonts w:hint="eastAsia" w:ascii="宋体" w:hAnsi="宋体" w:cs="宋体"/>
          <w:sz w:val="30"/>
          <w:szCs w:val="30"/>
        </w:rPr>
        <w:t>责任部门：市场监管分局牵头负责，安监配合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企业是否针对冬季天气特征和特种设备使用特点组织开展隐患自查自纠，防范严寒、雨雪、冰冻等各种不良天气以及节日客流对特种设备安全使用带来的不利影响，采取相应的措施保证特种设备安全运行。</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企业的压力容器和压力管道是否存在未经检验合格或者超期未检验使用，安全阀是否失效、损坏或者配置不当，作业人员是否未持证或者违章作业。</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液化石油气瓶充装单位是否存在未严格落实充装前检查制度，充装未经定期检验合格、非法改装、翻新、报废气瓶以及充装无条码气瓶，气瓶充装人员未持证或者违章作业。</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公众聚集场所和住宅小区电梯是否存在未按照安全技术规范要求开展日常维护保养，轿厢紧急报警装置失效，未张贴</w:t>
      </w:r>
      <w:r>
        <w:rPr>
          <w:rFonts w:ascii="??" w:hAnsi="??"/>
          <w:sz w:val="30"/>
          <w:szCs w:val="30"/>
        </w:rPr>
        <w:t>96333</w:t>
      </w:r>
      <w:r>
        <w:rPr>
          <w:rFonts w:hint="eastAsia" w:ascii="宋体" w:hAnsi="宋体" w:cs="宋体"/>
          <w:sz w:val="30"/>
          <w:szCs w:val="30"/>
        </w:rPr>
        <w:t>电梯应急救援标识，未严格落实应急值班制度。</w:t>
      </w:r>
    </w:p>
    <w:p>
      <w:pPr>
        <w:spacing w:line="560" w:lineRule="exact"/>
        <w:ind w:firstLine="600" w:firstLineChars="200"/>
        <w:contextualSpacing/>
        <w:rPr>
          <w:rFonts w:ascii="??"/>
          <w:sz w:val="30"/>
          <w:szCs w:val="30"/>
        </w:rPr>
      </w:pPr>
      <w:r>
        <w:rPr>
          <w:rFonts w:ascii="??" w:hAnsi="??"/>
          <w:sz w:val="30"/>
          <w:szCs w:val="30"/>
        </w:rPr>
        <w:t>5.</w:t>
      </w:r>
      <w:r>
        <w:rPr>
          <w:rFonts w:hint="eastAsia" w:ascii="宋体" w:hAnsi="宋体" w:cs="宋体"/>
          <w:sz w:val="30"/>
          <w:szCs w:val="30"/>
        </w:rPr>
        <w:t>冬季小锅炉等季节性使用的特种设备是否未经定期检验或者超期未检验使用，未按期开展内部检验，作业人员未持证或者违章作业。</w:t>
      </w:r>
    </w:p>
    <w:p>
      <w:pPr>
        <w:spacing w:line="560" w:lineRule="exact"/>
        <w:ind w:firstLine="600" w:firstLineChars="200"/>
        <w:contextualSpacing/>
        <w:rPr>
          <w:rFonts w:ascii="??"/>
          <w:sz w:val="30"/>
          <w:szCs w:val="30"/>
        </w:rPr>
      </w:pPr>
      <w:r>
        <w:rPr>
          <w:rFonts w:ascii="??" w:hAnsi="??"/>
          <w:sz w:val="30"/>
          <w:szCs w:val="30"/>
        </w:rPr>
        <w:t>6.</w:t>
      </w:r>
      <w:r>
        <w:rPr>
          <w:rFonts w:hint="eastAsia" w:ascii="宋体" w:hAnsi="宋体" w:cs="宋体"/>
          <w:sz w:val="30"/>
          <w:szCs w:val="30"/>
        </w:rPr>
        <w:t>桥式、门式起重机尤其是露天运行的，是否存在未加装限位装置和防脱钩装置，限位装置和防脱钩装置失效、损坏或者配置不当，作业人员未持证或者违章作业。</w:t>
      </w:r>
    </w:p>
    <w:p>
      <w:pPr>
        <w:spacing w:line="560" w:lineRule="exact"/>
        <w:ind w:firstLine="600" w:firstLineChars="200"/>
        <w:contextualSpacing/>
        <w:rPr>
          <w:rFonts w:ascii="??"/>
          <w:sz w:val="30"/>
          <w:szCs w:val="30"/>
        </w:rPr>
      </w:pPr>
      <w:r>
        <w:rPr>
          <w:rFonts w:ascii="??" w:hAnsi="??"/>
          <w:sz w:val="30"/>
          <w:szCs w:val="30"/>
        </w:rPr>
        <w:t>7.</w:t>
      </w:r>
      <w:r>
        <w:rPr>
          <w:rFonts w:hint="eastAsia" w:ascii="宋体" w:hAnsi="宋体" w:cs="宋体"/>
          <w:sz w:val="30"/>
          <w:szCs w:val="30"/>
        </w:rPr>
        <w:t>商场、公园景区以及大型活动举办地等公众密集场所使用的特种设备是否按照安全技术规范要求开展运行前检查和日常维护保养。大型游乐设施、客运索道是否改造加装压杆、安全带等乘客束缚装置。</w:t>
      </w:r>
    </w:p>
    <w:p>
      <w:pPr>
        <w:spacing w:line="560" w:lineRule="exact"/>
        <w:ind w:firstLine="600" w:firstLineChars="200"/>
        <w:contextualSpacing/>
        <w:rPr>
          <w:rFonts w:ascii="??"/>
          <w:sz w:val="30"/>
          <w:szCs w:val="30"/>
        </w:rPr>
      </w:pPr>
      <w:r>
        <w:rPr>
          <w:rFonts w:ascii="??" w:hAnsi="??"/>
          <w:sz w:val="30"/>
          <w:szCs w:val="30"/>
        </w:rPr>
        <w:t>8.</w:t>
      </w:r>
      <w:r>
        <w:rPr>
          <w:rFonts w:hint="eastAsia" w:ascii="宋体" w:hAnsi="宋体" w:cs="宋体"/>
          <w:sz w:val="30"/>
          <w:szCs w:val="30"/>
        </w:rPr>
        <w:t>工厂厂区内使用的叉车是否存在未注册登记挂牌、未检验合格、司机未取得相应特种设备作业人员证，是否按照安全技术规范要求开展运行前检查和日常维护保养，司机保险带是否存在失效和损坏。</w:t>
      </w:r>
    </w:p>
    <w:p>
      <w:pPr>
        <w:spacing w:line="560" w:lineRule="exact"/>
        <w:ind w:firstLine="600" w:firstLineChars="200"/>
        <w:contextualSpacing/>
        <w:rPr>
          <w:rFonts w:ascii="??"/>
          <w:sz w:val="30"/>
          <w:szCs w:val="30"/>
        </w:rPr>
      </w:pPr>
      <w:r>
        <w:rPr>
          <w:rFonts w:hint="eastAsia" w:ascii="宋体" w:hAnsi="宋体" w:cs="宋体"/>
          <w:sz w:val="30"/>
          <w:szCs w:val="30"/>
        </w:rPr>
        <w:t>（十）文化和旅游（共</w:t>
      </w:r>
      <w:r>
        <w:rPr>
          <w:rFonts w:ascii="??" w:hAnsi="??"/>
          <w:sz w:val="30"/>
          <w:szCs w:val="30"/>
        </w:rPr>
        <w:t>5</w:t>
      </w:r>
      <w:r>
        <w:rPr>
          <w:rFonts w:hint="eastAsia" w:ascii="宋体" w:hAnsi="宋体" w:cs="宋体"/>
          <w:sz w:val="30"/>
          <w:szCs w:val="30"/>
        </w:rPr>
        <w:t>条）</w:t>
      </w:r>
    </w:p>
    <w:p>
      <w:pPr>
        <w:spacing w:line="560" w:lineRule="exact"/>
        <w:ind w:firstLine="600" w:firstLineChars="200"/>
        <w:contextualSpacing/>
        <w:rPr>
          <w:rFonts w:ascii="??"/>
          <w:sz w:val="30"/>
          <w:szCs w:val="30"/>
        </w:rPr>
      </w:pPr>
      <w:r>
        <w:rPr>
          <w:rFonts w:hint="eastAsia" w:ascii="宋体" w:hAnsi="宋体" w:cs="宋体"/>
          <w:sz w:val="30"/>
          <w:szCs w:val="30"/>
        </w:rPr>
        <w:t>责任部门：宣传办牵头负责，执法局配合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文旅企业场所涉及的</w:t>
      </w:r>
      <w:r>
        <w:rPr>
          <w:rFonts w:ascii="??" w:hAnsi="??"/>
          <w:sz w:val="30"/>
          <w:szCs w:val="30"/>
        </w:rPr>
        <w:t>84</w:t>
      </w:r>
      <w:r>
        <w:rPr>
          <w:rFonts w:hint="eastAsia" w:ascii="宋体" w:hAnsi="宋体" w:cs="宋体"/>
          <w:sz w:val="30"/>
          <w:szCs w:val="30"/>
        </w:rPr>
        <w:t>消毒液、酒精溶液和干冰等危险化学品是否严格按照要求储存，是否落实重点岗位责任人制度，严格落实使用安全防控措施。</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民宿、旅游景区餐饮场所是否安装燃气泄漏报警器，是否存在报警器质量不达标、适用气型不符、安装位置不正确或不在工作状态等问题，是否将餐饮场所老化橡胶软管全部更换为金属包覆管。</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民宿、娱乐场所、文博单位及文化艺术类非学科类校外培训机构等场所是否违规锁闭、封堵、占用、堵塞安全出口或疏散通道，楼道、楼梯间是否堆放易燃、可燃物品，消防车通道是否施划消防车通道标线、标志并设置警示牌，是否被占用、堵塞；</w:t>
      </w:r>
      <w:r>
        <w:rPr>
          <w:rFonts w:ascii="??" w:eastAsia="Times New Roman"/>
          <w:sz w:val="30"/>
          <w:szCs w:val="30"/>
        </w:rPr>
        <w:t>“</w:t>
      </w:r>
      <w:r>
        <w:rPr>
          <w:rFonts w:hint="eastAsia" w:ascii="宋体" w:hAnsi="宋体" w:cs="宋体"/>
          <w:sz w:val="30"/>
          <w:szCs w:val="30"/>
        </w:rPr>
        <w:t>剧本杀</w:t>
      </w:r>
      <w:r>
        <w:rPr>
          <w:rFonts w:ascii="??" w:eastAsia="Times New Roman"/>
          <w:sz w:val="30"/>
          <w:szCs w:val="30"/>
        </w:rPr>
        <w:t>”“</w:t>
      </w:r>
      <w:r>
        <w:rPr>
          <w:rFonts w:hint="eastAsia" w:ascii="宋体" w:hAnsi="宋体" w:cs="宋体"/>
          <w:sz w:val="30"/>
          <w:szCs w:val="30"/>
        </w:rPr>
        <w:t>密室逃脱</w:t>
      </w:r>
      <w:r>
        <w:rPr>
          <w:rFonts w:ascii="??" w:eastAsia="Times New Roman"/>
          <w:sz w:val="30"/>
          <w:szCs w:val="30"/>
        </w:rPr>
        <w:t>”</w:t>
      </w:r>
      <w:r>
        <w:rPr>
          <w:rFonts w:hint="eastAsia" w:ascii="宋体" w:hAnsi="宋体" w:cs="宋体"/>
          <w:sz w:val="30"/>
          <w:szCs w:val="30"/>
        </w:rPr>
        <w:t>等剧本娱乐经营场所是否落实有关消防安全要求，场景装修布置是否使用大量可燃物、易燃物，场所内是否有两个以上逃生出口并有明显标识。</w:t>
      </w:r>
    </w:p>
    <w:p>
      <w:pPr>
        <w:spacing w:line="560" w:lineRule="exact"/>
        <w:ind w:firstLine="600" w:firstLineChars="200"/>
        <w:contextualSpacing/>
        <w:rPr>
          <w:rFonts w:ascii="??"/>
          <w:sz w:val="30"/>
          <w:szCs w:val="30"/>
        </w:rPr>
      </w:pPr>
      <w:r>
        <w:rPr>
          <w:rFonts w:ascii="??" w:hAnsi="??"/>
          <w:sz w:val="30"/>
          <w:szCs w:val="30"/>
        </w:rPr>
        <w:t>4</w:t>
      </w:r>
      <w:r>
        <w:rPr>
          <w:rFonts w:ascii="??" w:eastAsia="Times New Roman"/>
          <w:sz w:val="30"/>
          <w:szCs w:val="30"/>
        </w:rPr>
        <w:t>.</w:t>
      </w:r>
      <w:r>
        <w:rPr>
          <w:rFonts w:hint="eastAsia" w:ascii="宋体" w:hAnsi="宋体" w:cs="宋体"/>
          <w:sz w:val="30"/>
          <w:szCs w:val="30"/>
        </w:rPr>
        <w:t>娱乐场所是否针对冬季旅游遇到的极端天气制定安全保障措施，是否建立事故应急预案，并定期开展应急实战演练等。</w:t>
      </w:r>
    </w:p>
    <w:p>
      <w:pPr>
        <w:spacing w:line="560" w:lineRule="exact"/>
        <w:ind w:firstLine="600" w:firstLineChars="200"/>
        <w:contextualSpacing/>
        <w:rPr>
          <w:rFonts w:ascii="??"/>
          <w:sz w:val="30"/>
          <w:szCs w:val="30"/>
        </w:rPr>
      </w:pPr>
      <w:r>
        <w:rPr>
          <w:rFonts w:ascii="??" w:hAnsi="??"/>
          <w:sz w:val="30"/>
          <w:szCs w:val="30"/>
        </w:rPr>
        <w:t>5</w:t>
      </w:r>
      <w:r>
        <w:rPr>
          <w:rFonts w:ascii="??" w:eastAsia="Times New Roman"/>
          <w:sz w:val="30"/>
          <w:szCs w:val="30"/>
        </w:rPr>
        <w:t>.</w:t>
      </w:r>
      <w:r>
        <w:rPr>
          <w:rFonts w:hint="eastAsia" w:ascii="宋体" w:hAnsi="宋体" w:cs="宋体"/>
          <w:sz w:val="30"/>
          <w:szCs w:val="30"/>
        </w:rPr>
        <w:t>冬季大型文旅活动应急措施是否到位，是否经公安机关核发举办许可，是否履行消防安全检查手续，现场疏散通道、安全出口、消防车通道、应急广播、应急照明、疏散标志、消防设施器材配置是否到位。</w:t>
      </w:r>
    </w:p>
    <w:p>
      <w:pPr>
        <w:spacing w:line="560" w:lineRule="exact"/>
        <w:ind w:firstLine="600" w:firstLineChars="200"/>
        <w:contextualSpacing/>
        <w:rPr>
          <w:rFonts w:ascii="??"/>
          <w:sz w:val="30"/>
          <w:szCs w:val="30"/>
        </w:rPr>
      </w:pPr>
      <w:r>
        <w:rPr>
          <w:rFonts w:hint="eastAsia" w:ascii="宋体" w:hAnsi="宋体" w:cs="宋体"/>
          <w:sz w:val="30"/>
          <w:szCs w:val="30"/>
        </w:rPr>
        <w:t>（十一）电力（共</w:t>
      </w:r>
      <w:r>
        <w:rPr>
          <w:rFonts w:ascii="??" w:hAnsi="??"/>
          <w:sz w:val="30"/>
          <w:szCs w:val="30"/>
        </w:rPr>
        <w:t>3</w:t>
      </w:r>
      <w:r>
        <w:rPr>
          <w:rFonts w:hint="eastAsia" w:ascii="宋体" w:hAnsi="宋体" w:cs="宋体"/>
          <w:sz w:val="30"/>
          <w:szCs w:val="30"/>
        </w:rPr>
        <w:t>条）</w:t>
      </w:r>
    </w:p>
    <w:p>
      <w:pPr>
        <w:spacing w:line="560" w:lineRule="exact"/>
        <w:ind w:firstLine="600" w:firstLineChars="200"/>
        <w:contextualSpacing/>
        <w:rPr>
          <w:rFonts w:ascii="??"/>
          <w:sz w:val="30"/>
          <w:szCs w:val="30"/>
        </w:rPr>
      </w:pPr>
      <w:r>
        <w:rPr>
          <w:rFonts w:hint="eastAsia" w:ascii="宋体" w:hAnsi="宋体" w:cs="宋体"/>
          <w:sz w:val="30"/>
          <w:szCs w:val="30"/>
        </w:rPr>
        <w:t>责任部门：供电公司牵头负责</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是否存在电力建设施工企业无资质或超资质承揽工程及违法分包、转包工程，是否存在盲目赶工期、抢进度和恶劣天气强行组织施工等行为；施工现场是否规范临时用电、脚手架搭拆和使用，通道临边安全措施是否布置到位，是否严格审核执行深基坑、高支模、起重吊装等危险性较大的分部分项工程施工方案；是否组织施工项目分包人员培训考核，是否做到作业前安全技术交底到位和特种作业人员持证上岗。</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电力企业安全生产组织体系是否完善，是否落实安全生产各项规章制度；现场作业人员安全意识是否到位，是否严格管控设备检修作业、带电作业、动火作业、燃料装卸、灰渣处理等重要环节和重点领域的风险；是否落实触电、高处坠落、物体打击等人身事故和火灾、爆燃等设备事故防范措施。</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电力企业是否全面梳理电网运行安全风险，落实安全风险管控措施；是否严格管理涉网安全，贯彻执行国家、行业相关标准、规范要求；是否严格管理电力设备安装、调试、运行、维护等环节安全。</w:t>
      </w:r>
    </w:p>
    <w:p>
      <w:pPr>
        <w:spacing w:line="560" w:lineRule="exact"/>
        <w:ind w:firstLine="600" w:firstLineChars="200"/>
        <w:contextualSpacing/>
        <w:rPr>
          <w:rFonts w:ascii="??"/>
          <w:sz w:val="30"/>
          <w:szCs w:val="30"/>
        </w:rPr>
      </w:pPr>
      <w:r>
        <w:rPr>
          <w:rFonts w:hint="eastAsia" w:ascii="宋体" w:hAnsi="宋体" w:cs="宋体"/>
          <w:sz w:val="30"/>
          <w:szCs w:val="30"/>
        </w:rPr>
        <w:t>（十二）农业机械（共</w:t>
      </w:r>
      <w:r>
        <w:rPr>
          <w:rFonts w:ascii="??" w:hAnsi="??"/>
          <w:sz w:val="30"/>
          <w:szCs w:val="30"/>
        </w:rPr>
        <w:t>2</w:t>
      </w:r>
      <w:r>
        <w:rPr>
          <w:rFonts w:hint="eastAsia" w:ascii="宋体" w:hAnsi="宋体" w:cs="宋体"/>
          <w:sz w:val="30"/>
          <w:szCs w:val="30"/>
        </w:rPr>
        <w:t>条）</w:t>
      </w:r>
    </w:p>
    <w:p>
      <w:pPr>
        <w:spacing w:line="560" w:lineRule="exact"/>
        <w:ind w:firstLine="600" w:firstLineChars="200"/>
        <w:contextualSpacing/>
        <w:rPr>
          <w:rFonts w:ascii="??"/>
          <w:sz w:val="30"/>
          <w:szCs w:val="30"/>
        </w:rPr>
      </w:pPr>
      <w:r>
        <w:rPr>
          <w:rFonts w:hint="eastAsia" w:ascii="宋体" w:hAnsi="宋体" w:cs="宋体"/>
          <w:sz w:val="30"/>
          <w:szCs w:val="30"/>
        </w:rPr>
        <w:t>责任部门：农业农村局牵头，各村配合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农机合作社是否组织开展全面的冬季安全生产自查活动，严格做好农机具防冻、防火等工作。</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农机服务组织是否开展农机安全生产重大事故隐患风险研判，是否针对农业农村部办公厅印发的农机安全生产重大事故隐患判定标准（试行）的六种情形开展自查活动，严格做好所属人员安全教育工作，杜绝酒后操作农业机械、违法载人、私自拼装改装、超速超载等违法行为。</w:t>
      </w:r>
    </w:p>
    <w:p>
      <w:pPr>
        <w:spacing w:line="560" w:lineRule="exact"/>
        <w:ind w:firstLine="600" w:firstLineChars="200"/>
        <w:contextualSpacing/>
        <w:rPr>
          <w:rFonts w:ascii="??"/>
          <w:sz w:val="30"/>
          <w:szCs w:val="30"/>
        </w:rPr>
      </w:pPr>
      <w:r>
        <w:rPr>
          <w:rFonts w:hint="eastAsia" w:ascii="宋体" w:hAnsi="宋体" w:cs="宋体"/>
          <w:sz w:val="30"/>
          <w:szCs w:val="30"/>
        </w:rPr>
        <w:t>（十三）森林防灭火（</w:t>
      </w:r>
      <w:r>
        <w:rPr>
          <w:rFonts w:ascii="??" w:hAnsi="??"/>
          <w:sz w:val="30"/>
          <w:szCs w:val="30"/>
        </w:rPr>
        <w:t>8</w:t>
      </w:r>
      <w:r>
        <w:rPr>
          <w:rFonts w:hint="eastAsia" w:ascii="宋体" w:hAnsi="宋体" w:cs="宋体"/>
          <w:sz w:val="30"/>
          <w:szCs w:val="30"/>
        </w:rPr>
        <w:t>条）</w:t>
      </w:r>
    </w:p>
    <w:p>
      <w:pPr>
        <w:spacing w:line="560" w:lineRule="exact"/>
        <w:ind w:firstLine="600" w:firstLineChars="200"/>
        <w:contextualSpacing/>
        <w:rPr>
          <w:rFonts w:ascii="??"/>
          <w:sz w:val="30"/>
          <w:szCs w:val="30"/>
          <w:highlight w:val="green"/>
        </w:rPr>
      </w:pPr>
      <w:r>
        <w:rPr>
          <w:rFonts w:hint="eastAsia" w:ascii="宋体" w:hAnsi="宋体" w:cs="宋体"/>
          <w:sz w:val="30"/>
          <w:szCs w:val="30"/>
        </w:rPr>
        <w:t>责任部门：自然资源所牵头，各村配合</w:t>
      </w:r>
    </w:p>
    <w:p>
      <w:pPr>
        <w:spacing w:line="560" w:lineRule="exact"/>
        <w:ind w:firstLine="600" w:firstLineChars="200"/>
        <w:contextualSpacing/>
        <w:rPr>
          <w:rFonts w:ascii="??"/>
          <w:sz w:val="30"/>
          <w:szCs w:val="30"/>
        </w:rPr>
      </w:pPr>
      <w:r>
        <w:rPr>
          <w:rFonts w:ascii="??" w:hAnsi="??"/>
          <w:sz w:val="30"/>
          <w:szCs w:val="30"/>
        </w:rPr>
        <w:t>1.</w:t>
      </w:r>
      <w:r>
        <w:rPr>
          <w:rFonts w:hint="eastAsia" w:ascii="宋体" w:hAnsi="宋体" w:cs="宋体"/>
          <w:sz w:val="30"/>
          <w:szCs w:val="30"/>
        </w:rPr>
        <w:t>是否在进山入林处建点设卡，做到逢车必检查、逢人必告知，确保火种不上山、火源不入林。是否推行扫</w:t>
      </w:r>
      <w:r>
        <w:rPr>
          <w:rFonts w:ascii="??" w:eastAsia="Times New Roman"/>
          <w:sz w:val="30"/>
          <w:szCs w:val="30"/>
        </w:rPr>
        <w:t>“</w:t>
      </w:r>
      <w:r>
        <w:rPr>
          <w:rFonts w:hint="eastAsia" w:ascii="宋体" w:hAnsi="宋体" w:cs="宋体"/>
          <w:sz w:val="30"/>
          <w:szCs w:val="30"/>
        </w:rPr>
        <w:t>防火码</w:t>
      </w:r>
      <w:r>
        <w:rPr>
          <w:rFonts w:ascii="??" w:eastAsia="Times New Roman"/>
          <w:sz w:val="30"/>
          <w:szCs w:val="30"/>
        </w:rPr>
        <w:t>”</w:t>
      </w:r>
      <w:r>
        <w:rPr>
          <w:rFonts w:hint="eastAsia" w:ascii="宋体" w:hAnsi="宋体" w:cs="宋体"/>
          <w:sz w:val="30"/>
          <w:szCs w:val="30"/>
        </w:rPr>
        <w:t>入林制度。是否在重点时段增设临时卡口，无法增设地点增加巡护频次。是否加大对重点地区祭扫、农事、施工、旅游等野外用火管控力度。</w:t>
      </w:r>
    </w:p>
    <w:p>
      <w:pPr>
        <w:spacing w:line="560" w:lineRule="exact"/>
        <w:ind w:firstLine="600" w:firstLineChars="200"/>
        <w:contextualSpacing/>
        <w:rPr>
          <w:rFonts w:ascii="??"/>
          <w:sz w:val="30"/>
          <w:szCs w:val="30"/>
        </w:rPr>
      </w:pPr>
      <w:r>
        <w:rPr>
          <w:rFonts w:ascii="??" w:hAnsi="??"/>
          <w:sz w:val="30"/>
          <w:szCs w:val="30"/>
        </w:rPr>
        <w:t>2.</w:t>
      </w:r>
      <w:r>
        <w:rPr>
          <w:rFonts w:hint="eastAsia" w:ascii="宋体" w:hAnsi="宋体" w:cs="宋体"/>
          <w:sz w:val="30"/>
          <w:szCs w:val="30"/>
        </w:rPr>
        <w:t>是否对森林分布区输配电设施、防火道、消防水池等开展检查，定期对重点地区可燃物进行常态化清理。是否对检查出的火险隐患按照明确整改责任人、整改措施、整改时间和建账销账的方式进行整改。</w:t>
      </w:r>
    </w:p>
    <w:p>
      <w:pPr>
        <w:spacing w:line="560" w:lineRule="exact"/>
        <w:ind w:firstLine="600" w:firstLineChars="200"/>
        <w:contextualSpacing/>
        <w:rPr>
          <w:rFonts w:ascii="??"/>
          <w:sz w:val="30"/>
          <w:szCs w:val="30"/>
        </w:rPr>
      </w:pPr>
      <w:r>
        <w:rPr>
          <w:rFonts w:ascii="??" w:hAnsi="??"/>
          <w:sz w:val="30"/>
          <w:szCs w:val="30"/>
        </w:rPr>
        <w:t>3.</w:t>
      </w:r>
      <w:r>
        <w:rPr>
          <w:rFonts w:hint="eastAsia" w:ascii="宋体" w:hAnsi="宋体" w:cs="宋体"/>
          <w:sz w:val="30"/>
          <w:szCs w:val="30"/>
        </w:rPr>
        <w:t>是否完善监测预警设施，提高火情监测覆盖率、准确率。是否加强地面常态化巡查，重点时段增加巡查人员，加密巡查频次。是否组织开展会商研判，及时下发应对提示，必要时采取短信、应急大喇叭等方式进行预警。是否建立预警</w:t>
      </w:r>
      <w:r>
        <w:rPr>
          <w:rFonts w:ascii="??" w:eastAsia="Times New Roman"/>
          <w:sz w:val="30"/>
          <w:szCs w:val="30"/>
        </w:rPr>
        <w:t>“</w:t>
      </w:r>
      <w:r>
        <w:rPr>
          <w:rFonts w:hint="eastAsia" w:ascii="宋体" w:hAnsi="宋体" w:cs="宋体"/>
          <w:sz w:val="30"/>
          <w:szCs w:val="30"/>
        </w:rPr>
        <w:t>叫应</w:t>
      </w:r>
      <w:r>
        <w:rPr>
          <w:rFonts w:ascii="??" w:eastAsia="Times New Roman"/>
          <w:sz w:val="30"/>
          <w:szCs w:val="30"/>
        </w:rPr>
        <w:t>”</w:t>
      </w:r>
      <w:r>
        <w:rPr>
          <w:rFonts w:hint="eastAsia" w:ascii="宋体" w:hAnsi="宋体" w:cs="宋体"/>
          <w:sz w:val="30"/>
          <w:szCs w:val="30"/>
        </w:rPr>
        <w:t>机制，提升快速响应效能。</w:t>
      </w:r>
    </w:p>
    <w:p>
      <w:pPr>
        <w:spacing w:line="560" w:lineRule="exact"/>
        <w:ind w:firstLine="600" w:firstLineChars="200"/>
        <w:contextualSpacing/>
        <w:rPr>
          <w:rFonts w:ascii="??"/>
          <w:sz w:val="30"/>
          <w:szCs w:val="30"/>
        </w:rPr>
      </w:pPr>
      <w:r>
        <w:rPr>
          <w:rFonts w:ascii="??" w:hAnsi="??"/>
          <w:sz w:val="30"/>
          <w:szCs w:val="30"/>
        </w:rPr>
        <w:t>4.</w:t>
      </w:r>
      <w:r>
        <w:rPr>
          <w:rFonts w:hint="eastAsia" w:ascii="宋体" w:hAnsi="宋体" w:cs="宋体"/>
          <w:sz w:val="30"/>
          <w:szCs w:val="30"/>
        </w:rPr>
        <w:t>是否采取悬挂宣传横幅或宣传牌、增设警示标志、张贴防火标语、流动宣传车、智能感应喇叭等方式广泛开展宣传，加大野外违规用火反面典型案例教育震慑力度，提高全民防火意识和自救互救技能。</w:t>
      </w:r>
    </w:p>
    <w:p>
      <w:pPr>
        <w:spacing w:line="560" w:lineRule="exact"/>
        <w:ind w:firstLine="600" w:firstLineChars="200"/>
        <w:contextualSpacing/>
        <w:rPr>
          <w:rFonts w:ascii="??"/>
          <w:sz w:val="30"/>
          <w:szCs w:val="30"/>
        </w:rPr>
      </w:pPr>
      <w:r>
        <w:rPr>
          <w:rFonts w:ascii="??" w:hAnsi="??"/>
          <w:sz w:val="30"/>
          <w:szCs w:val="30"/>
        </w:rPr>
        <w:t>5.</w:t>
      </w:r>
      <w:r>
        <w:rPr>
          <w:rFonts w:hint="eastAsia" w:ascii="宋体" w:hAnsi="宋体" w:cs="宋体"/>
          <w:sz w:val="30"/>
          <w:szCs w:val="30"/>
        </w:rPr>
        <w:t>是否持续推进隔离带、防火道、应急通信等基础设施建设，重要区域、重要目标和重点设施周边构建林火阻隔系统，国有林场、森林等建设完善引水上山工程、蓄水池或储水罐等设施。</w:t>
      </w:r>
    </w:p>
    <w:p>
      <w:pPr>
        <w:spacing w:line="560" w:lineRule="exact"/>
        <w:ind w:firstLine="600" w:firstLineChars="200"/>
        <w:contextualSpacing/>
        <w:rPr>
          <w:rFonts w:ascii="??"/>
          <w:sz w:val="30"/>
          <w:szCs w:val="30"/>
        </w:rPr>
      </w:pPr>
      <w:r>
        <w:rPr>
          <w:rFonts w:ascii="??" w:hAnsi="??"/>
          <w:sz w:val="30"/>
          <w:szCs w:val="30"/>
        </w:rPr>
        <w:t>6.</w:t>
      </w:r>
      <w:r>
        <w:rPr>
          <w:rFonts w:hint="eastAsia" w:ascii="宋体" w:hAnsi="宋体" w:cs="宋体"/>
          <w:sz w:val="30"/>
          <w:szCs w:val="30"/>
        </w:rPr>
        <w:t>是否推进森林分布区输配电设施火灾隐患专项排查治理、森林火灾隐患排查整治和查处违规用火行为专项行动，加大</w:t>
      </w:r>
      <w:r>
        <w:rPr>
          <w:rFonts w:ascii="??" w:eastAsia="Times New Roman"/>
          <w:sz w:val="30"/>
          <w:szCs w:val="30"/>
        </w:rPr>
        <w:t>“</w:t>
      </w:r>
      <w:r>
        <w:rPr>
          <w:rFonts w:hint="eastAsia" w:ascii="宋体" w:hAnsi="宋体" w:cs="宋体"/>
          <w:sz w:val="30"/>
          <w:szCs w:val="30"/>
        </w:rPr>
        <w:t>四不两直</w:t>
      </w:r>
      <w:r>
        <w:rPr>
          <w:rFonts w:ascii="??" w:eastAsia="Times New Roman"/>
          <w:sz w:val="30"/>
          <w:szCs w:val="30"/>
        </w:rPr>
        <w:t>”</w:t>
      </w:r>
      <w:r>
        <w:rPr>
          <w:rFonts w:hint="eastAsia" w:ascii="宋体" w:hAnsi="宋体" w:cs="宋体"/>
          <w:sz w:val="30"/>
          <w:szCs w:val="30"/>
        </w:rPr>
        <w:t>督查暗访力度，制定问题清单，实行跟踪督办，确保闭环整改。</w:t>
      </w:r>
    </w:p>
    <w:p>
      <w:pPr>
        <w:spacing w:line="560" w:lineRule="exact"/>
        <w:ind w:firstLine="600" w:firstLineChars="200"/>
        <w:contextualSpacing/>
        <w:rPr>
          <w:rFonts w:ascii="??"/>
          <w:sz w:val="30"/>
          <w:szCs w:val="30"/>
        </w:rPr>
      </w:pPr>
      <w:r>
        <w:rPr>
          <w:rFonts w:ascii="??" w:hAnsi="??"/>
          <w:sz w:val="30"/>
          <w:szCs w:val="30"/>
        </w:rPr>
        <w:t>7.</w:t>
      </w:r>
      <w:r>
        <w:rPr>
          <w:rFonts w:hint="eastAsia" w:ascii="宋体" w:hAnsi="宋体" w:cs="宋体"/>
          <w:sz w:val="30"/>
          <w:szCs w:val="30"/>
        </w:rPr>
        <w:t>是否严格执行重点时段</w:t>
      </w:r>
      <w:r>
        <w:rPr>
          <w:rFonts w:ascii="??" w:hAnsi="??"/>
          <w:sz w:val="30"/>
          <w:szCs w:val="30"/>
        </w:rPr>
        <w:t>24</w:t>
      </w:r>
      <w:r>
        <w:rPr>
          <w:rFonts w:hint="eastAsia" w:ascii="宋体" w:hAnsi="宋体" w:cs="宋体"/>
          <w:sz w:val="30"/>
          <w:szCs w:val="30"/>
        </w:rPr>
        <w:t>小时带班值班和卫星监测热点核查反馈制度。是否加强应急救援力量建设，确保拉得出、打得响。是否储备并及时更新、补足消防水泵、水带等灭火物资和装备，确保调得出、用得上。</w:t>
      </w:r>
    </w:p>
    <w:p>
      <w:pPr>
        <w:spacing w:line="560" w:lineRule="exact"/>
        <w:ind w:firstLine="600" w:firstLineChars="200"/>
        <w:contextualSpacing/>
        <w:rPr>
          <w:rFonts w:ascii="??"/>
          <w:sz w:val="30"/>
          <w:szCs w:val="30"/>
        </w:rPr>
      </w:pPr>
      <w:r>
        <w:rPr>
          <w:rFonts w:ascii="??" w:hAnsi="??"/>
          <w:sz w:val="30"/>
          <w:szCs w:val="30"/>
        </w:rPr>
        <w:t>8.</w:t>
      </w:r>
      <w:r>
        <w:rPr>
          <w:rFonts w:hint="eastAsia" w:ascii="宋体" w:hAnsi="宋体" w:cs="宋体"/>
          <w:sz w:val="30"/>
          <w:szCs w:val="30"/>
        </w:rPr>
        <w:t>重点时段、重点地区是否实施指挥、力量、装备靠前驻防，做到早发现、早报告、早处置，坚持</w:t>
      </w:r>
      <w:r>
        <w:rPr>
          <w:rFonts w:ascii="??" w:eastAsia="Times New Roman"/>
          <w:sz w:val="30"/>
          <w:szCs w:val="30"/>
        </w:rPr>
        <w:t>“</w:t>
      </w:r>
      <w:r>
        <w:rPr>
          <w:rFonts w:hint="eastAsia" w:ascii="宋体" w:hAnsi="宋体" w:cs="宋体"/>
          <w:sz w:val="30"/>
          <w:szCs w:val="30"/>
        </w:rPr>
        <w:t>打早打小打了</w:t>
      </w:r>
      <w:r>
        <w:rPr>
          <w:rFonts w:ascii="??" w:eastAsia="Times New Roman"/>
          <w:sz w:val="30"/>
          <w:szCs w:val="30"/>
        </w:rPr>
        <w:t>”</w:t>
      </w:r>
      <w:r>
        <w:rPr>
          <w:rFonts w:hint="eastAsia" w:ascii="宋体" w:hAnsi="宋体" w:cs="宋体"/>
          <w:sz w:val="30"/>
          <w:szCs w:val="30"/>
        </w:rPr>
        <w:t>，严格执行国家森防办</w:t>
      </w:r>
      <w:r>
        <w:rPr>
          <w:rFonts w:ascii="??" w:eastAsia="Times New Roman"/>
          <w:sz w:val="30"/>
          <w:szCs w:val="30"/>
        </w:rPr>
        <w:t>“</w:t>
      </w:r>
      <w:r>
        <w:rPr>
          <w:rFonts w:hint="eastAsia" w:ascii="宋体" w:hAnsi="宋体" w:cs="宋体"/>
          <w:sz w:val="30"/>
          <w:szCs w:val="30"/>
        </w:rPr>
        <w:t>十个必须</w:t>
      </w:r>
      <w:r>
        <w:rPr>
          <w:rFonts w:ascii="??" w:eastAsia="Times New Roman"/>
          <w:sz w:val="30"/>
          <w:szCs w:val="30"/>
        </w:rPr>
        <w:t>”</w:t>
      </w:r>
      <w:r>
        <w:rPr>
          <w:rFonts w:hint="eastAsia" w:ascii="宋体" w:hAnsi="宋体" w:cs="宋体"/>
          <w:sz w:val="30"/>
          <w:szCs w:val="30"/>
        </w:rPr>
        <w:t>、</w:t>
      </w:r>
      <w:r>
        <w:rPr>
          <w:rFonts w:ascii="??" w:eastAsia="Times New Roman"/>
          <w:sz w:val="30"/>
          <w:szCs w:val="30"/>
        </w:rPr>
        <w:t>“</w:t>
      </w:r>
      <w:r>
        <w:rPr>
          <w:rFonts w:hint="eastAsia" w:ascii="宋体" w:hAnsi="宋体" w:cs="宋体"/>
          <w:sz w:val="30"/>
          <w:szCs w:val="30"/>
        </w:rPr>
        <w:t>十个严禁</w:t>
      </w:r>
      <w:r>
        <w:rPr>
          <w:rFonts w:ascii="??" w:eastAsia="Times New Roman"/>
          <w:sz w:val="30"/>
          <w:szCs w:val="30"/>
        </w:rPr>
        <w:t>”</w:t>
      </w:r>
      <w:r>
        <w:rPr>
          <w:rFonts w:hint="eastAsia" w:ascii="宋体" w:hAnsi="宋体" w:cs="宋体"/>
          <w:sz w:val="30"/>
          <w:szCs w:val="30"/>
        </w:rPr>
        <w:t>和</w:t>
      </w:r>
      <w:r>
        <w:rPr>
          <w:rFonts w:ascii="??" w:eastAsia="Times New Roman"/>
          <w:sz w:val="30"/>
          <w:szCs w:val="30"/>
        </w:rPr>
        <w:t>“</w:t>
      </w:r>
      <w:r>
        <w:rPr>
          <w:rFonts w:hint="eastAsia" w:ascii="宋体" w:hAnsi="宋体" w:cs="宋体"/>
          <w:sz w:val="30"/>
          <w:szCs w:val="30"/>
        </w:rPr>
        <w:t>三先四不打</w:t>
      </w:r>
      <w:r>
        <w:rPr>
          <w:rFonts w:ascii="??" w:eastAsia="Times New Roman"/>
          <w:sz w:val="30"/>
          <w:szCs w:val="30"/>
        </w:rPr>
        <w:t>”</w:t>
      </w:r>
      <w:r>
        <w:rPr>
          <w:rFonts w:hint="eastAsia" w:ascii="宋体" w:hAnsi="宋体" w:cs="宋体"/>
          <w:sz w:val="30"/>
          <w:szCs w:val="30"/>
        </w:rPr>
        <w:t>等要求，确保扑火安全。</w:t>
      </w:r>
    </w:p>
    <w:p>
      <w:pPr>
        <w:pStyle w:val="9"/>
        <w:autoSpaceDE w:val="0"/>
        <w:autoSpaceDN w:val="0"/>
        <w:spacing w:beforeAutospacing="0" w:afterAutospacing="0" w:line="560" w:lineRule="exact"/>
        <w:ind w:firstLine="600" w:firstLineChars="200"/>
        <w:jc w:val="both"/>
        <w:rPr>
          <w:rFonts w:ascii="??"/>
          <w:sz w:val="30"/>
          <w:szCs w:val="30"/>
        </w:rPr>
      </w:pPr>
      <w:r>
        <w:rPr>
          <w:rFonts w:hint="eastAsia" w:ascii="宋体" w:hAnsi="宋体" w:cs="宋体"/>
          <w:sz w:val="30"/>
          <w:szCs w:val="30"/>
        </w:rPr>
        <w:t>三、时间步骤</w:t>
      </w:r>
    </w:p>
    <w:p>
      <w:pPr>
        <w:autoSpaceDE w:val="0"/>
        <w:autoSpaceDN w:val="0"/>
        <w:adjustRightInd w:val="0"/>
        <w:spacing w:line="560" w:lineRule="exact"/>
        <w:ind w:firstLine="624"/>
        <w:contextualSpacing/>
        <w:rPr>
          <w:rFonts w:ascii="??"/>
          <w:snapToGrid w:val="0"/>
          <w:kern w:val="0"/>
          <w:sz w:val="30"/>
          <w:szCs w:val="30"/>
        </w:rPr>
      </w:pPr>
      <w:r>
        <w:rPr>
          <w:rFonts w:hint="eastAsia" w:ascii="宋体" w:hAnsi="宋体" w:cs="宋体"/>
          <w:snapToGrid w:val="0"/>
          <w:kern w:val="0"/>
          <w:sz w:val="30"/>
          <w:szCs w:val="30"/>
        </w:rPr>
        <w:t>冬季安全生产专项治理行动从即日起到</w:t>
      </w:r>
      <w:r>
        <w:rPr>
          <w:rFonts w:ascii="??" w:hAnsi="??"/>
          <w:snapToGrid w:val="0"/>
          <w:kern w:val="0"/>
          <w:sz w:val="30"/>
          <w:szCs w:val="30"/>
        </w:rPr>
        <w:t>2023</w:t>
      </w:r>
      <w:r>
        <w:rPr>
          <w:rFonts w:hint="eastAsia" w:ascii="宋体" w:hAnsi="宋体" w:cs="宋体"/>
          <w:snapToGrid w:val="0"/>
          <w:kern w:val="0"/>
          <w:sz w:val="30"/>
          <w:szCs w:val="30"/>
        </w:rPr>
        <w:t>年</w:t>
      </w:r>
      <w:r>
        <w:rPr>
          <w:rFonts w:ascii="??" w:hAnsi="??"/>
          <w:snapToGrid w:val="0"/>
          <w:kern w:val="0"/>
          <w:sz w:val="30"/>
          <w:szCs w:val="30"/>
        </w:rPr>
        <w:t>3</w:t>
      </w:r>
      <w:r>
        <w:rPr>
          <w:rFonts w:hint="eastAsia" w:ascii="宋体" w:hAnsi="宋体" w:cs="宋体"/>
          <w:snapToGrid w:val="0"/>
          <w:kern w:val="0"/>
          <w:sz w:val="30"/>
          <w:szCs w:val="30"/>
        </w:rPr>
        <w:t>月底，分三个阶段进行。</w:t>
      </w:r>
    </w:p>
    <w:p>
      <w:pPr>
        <w:autoSpaceDE w:val="0"/>
        <w:autoSpaceDN w:val="0"/>
        <w:adjustRightInd w:val="0"/>
        <w:spacing w:line="560" w:lineRule="exact"/>
        <w:ind w:firstLine="624"/>
        <w:contextualSpacing/>
        <w:rPr>
          <w:rFonts w:ascii="??"/>
          <w:snapToGrid w:val="0"/>
          <w:kern w:val="0"/>
          <w:sz w:val="30"/>
          <w:szCs w:val="30"/>
        </w:rPr>
      </w:pPr>
      <w:r>
        <w:rPr>
          <w:rFonts w:hint="eastAsia" w:ascii="宋体" w:hAnsi="宋体" w:cs="宋体"/>
          <w:snapToGrid w:val="0"/>
          <w:kern w:val="0"/>
          <w:sz w:val="30"/>
          <w:szCs w:val="30"/>
        </w:rPr>
        <w:t>（一）全面部署（即日起至</w:t>
      </w:r>
      <w:r>
        <w:rPr>
          <w:rFonts w:ascii="??" w:hAnsi="??"/>
          <w:snapToGrid w:val="0"/>
          <w:kern w:val="0"/>
          <w:sz w:val="30"/>
          <w:szCs w:val="30"/>
        </w:rPr>
        <w:t>2022</w:t>
      </w:r>
      <w:r>
        <w:rPr>
          <w:rFonts w:hint="eastAsia" w:ascii="宋体" w:hAnsi="宋体" w:cs="宋体"/>
          <w:snapToGrid w:val="0"/>
          <w:kern w:val="0"/>
          <w:sz w:val="30"/>
          <w:szCs w:val="30"/>
        </w:rPr>
        <w:t>年</w:t>
      </w:r>
      <w:r>
        <w:rPr>
          <w:rFonts w:ascii="??" w:hAnsi="??"/>
          <w:snapToGrid w:val="0"/>
          <w:kern w:val="0"/>
          <w:sz w:val="30"/>
          <w:szCs w:val="30"/>
        </w:rPr>
        <w:t>12</w:t>
      </w:r>
      <w:r>
        <w:rPr>
          <w:rFonts w:hint="eastAsia" w:ascii="宋体" w:hAnsi="宋体" w:cs="宋体"/>
          <w:snapToGrid w:val="0"/>
          <w:kern w:val="0"/>
          <w:sz w:val="30"/>
          <w:szCs w:val="30"/>
        </w:rPr>
        <w:t>月</w:t>
      </w:r>
      <w:r>
        <w:rPr>
          <w:rFonts w:ascii="??" w:hAnsi="??"/>
          <w:snapToGrid w:val="0"/>
          <w:kern w:val="0"/>
          <w:sz w:val="30"/>
          <w:szCs w:val="30"/>
        </w:rPr>
        <w:t>15</w:t>
      </w:r>
      <w:r>
        <w:rPr>
          <w:rFonts w:hint="eastAsia" w:ascii="宋体" w:hAnsi="宋体" w:cs="宋体"/>
          <w:snapToGrid w:val="0"/>
          <w:kern w:val="0"/>
          <w:sz w:val="30"/>
          <w:szCs w:val="30"/>
        </w:rPr>
        <w:t>日）。在全镇安全生产大检查、百日攻坚行动、发展安全</w:t>
      </w:r>
      <w:r>
        <w:rPr>
          <w:rFonts w:ascii="??" w:eastAsia="Times New Roman"/>
          <w:snapToGrid w:val="0"/>
          <w:kern w:val="0"/>
          <w:sz w:val="30"/>
          <w:szCs w:val="30"/>
        </w:rPr>
        <w:t>“</w:t>
      </w:r>
      <w:r>
        <w:rPr>
          <w:rFonts w:hint="eastAsia" w:ascii="宋体" w:hAnsi="宋体" w:cs="宋体"/>
          <w:snapToGrid w:val="0"/>
          <w:kern w:val="0"/>
          <w:sz w:val="30"/>
          <w:szCs w:val="30"/>
        </w:rPr>
        <w:t>三百工程</w:t>
      </w:r>
      <w:r>
        <w:rPr>
          <w:rFonts w:ascii="??" w:eastAsia="Times New Roman"/>
          <w:snapToGrid w:val="0"/>
          <w:kern w:val="0"/>
          <w:sz w:val="30"/>
          <w:szCs w:val="30"/>
        </w:rPr>
        <w:t>”</w:t>
      </w:r>
      <w:r>
        <w:rPr>
          <w:rFonts w:hint="eastAsia" w:ascii="宋体" w:hAnsi="宋体" w:cs="宋体"/>
          <w:snapToGrid w:val="0"/>
          <w:kern w:val="0"/>
          <w:sz w:val="30"/>
          <w:szCs w:val="30"/>
        </w:rPr>
        <w:t>等隐患排查整治工作的基础上，各村、</w:t>
      </w:r>
      <w:r>
        <w:rPr>
          <w:rFonts w:hint="eastAsia" w:ascii="宋体" w:hAnsi="宋体" w:cs="宋体"/>
          <w:sz w:val="30"/>
          <w:szCs w:val="30"/>
        </w:rPr>
        <w:t>各专委会</w:t>
      </w:r>
      <w:r>
        <w:rPr>
          <w:rFonts w:hint="eastAsia" w:ascii="宋体" w:hAnsi="宋体" w:cs="宋体"/>
          <w:snapToGrid w:val="0"/>
          <w:kern w:val="0"/>
          <w:sz w:val="30"/>
          <w:szCs w:val="30"/>
        </w:rPr>
        <w:t>结合实际制定具体实施方案和专项方案，广泛进行动员部署，全面落实隐患排查治理措施。</w:t>
      </w:r>
    </w:p>
    <w:p>
      <w:pPr>
        <w:autoSpaceDE w:val="0"/>
        <w:autoSpaceDN w:val="0"/>
        <w:adjustRightInd w:val="0"/>
        <w:spacing w:line="560" w:lineRule="exact"/>
        <w:ind w:firstLine="624"/>
        <w:contextualSpacing/>
        <w:rPr>
          <w:rFonts w:ascii="??"/>
          <w:snapToGrid w:val="0"/>
          <w:kern w:val="0"/>
          <w:sz w:val="30"/>
          <w:szCs w:val="30"/>
        </w:rPr>
      </w:pPr>
      <w:r>
        <w:rPr>
          <w:rFonts w:hint="eastAsia" w:ascii="宋体" w:hAnsi="宋体" w:cs="宋体"/>
          <w:snapToGrid w:val="0"/>
          <w:kern w:val="0"/>
          <w:sz w:val="30"/>
          <w:szCs w:val="30"/>
        </w:rPr>
        <w:t>（二）全面整治（</w:t>
      </w:r>
      <w:r>
        <w:rPr>
          <w:rFonts w:ascii="??" w:hAnsi="??"/>
          <w:snapToGrid w:val="0"/>
          <w:kern w:val="0"/>
          <w:sz w:val="30"/>
          <w:szCs w:val="30"/>
        </w:rPr>
        <w:t>2022</w:t>
      </w:r>
      <w:r>
        <w:rPr>
          <w:rFonts w:hint="eastAsia" w:ascii="宋体" w:hAnsi="宋体" w:cs="宋体"/>
          <w:snapToGrid w:val="0"/>
          <w:kern w:val="0"/>
          <w:sz w:val="30"/>
          <w:szCs w:val="30"/>
        </w:rPr>
        <w:t>年</w:t>
      </w:r>
      <w:r>
        <w:rPr>
          <w:rFonts w:ascii="??" w:hAnsi="??"/>
          <w:snapToGrid w:val="0"/>
          <w:kern w:val="0"/>
          <w:sz w:val="30"/>
          <w:szCs w:val="30"/>
        </w:rPr>
        <w:t>12</w:t>
      </w:r>
      <w:r>
        <w:rPr>
          <w:rFonts w:hint="eastAsia" w:ascii="宋体" w:hAnsi="宋体" w:cs="宋体"/>
          <w:snapToGrid w:val="0"/>
          <w:kern w:val="0"/>
          <w:sz w:val="30"/>
          <w:szCs w:val="30"/>
        </w:rPr>
        <w:t>月</w:t>
      </w:r>
      <w:r>
        <w:rPr>
          <w:rFonts w:ascii="??" w:hAnsi="??"/>
          <w:snapToGrid w:val="0"/>
          <w:kern w:val="0"/>
          <w:sz w:val="30"/>
          <w:szCs w:val="30"/>
        </w:rPr>
        <w:t>15</w:t>
      </w:r>
      <w:r>
        <w:rPr>
          <w:rFonts w:hint="eastAsia" w:ascii="宋体" w:hAnsi="宋体" w:cs="宋体"/>
          <w:snapToGrid w:val="0"/>
          <w:kern w:val="0"/>
          <w:sz w:val="30"/>
          <w:szCs w:val="30"/>
        </w:rPr>
        <w:t>日至</w:t>
      </w:r>
      <w:r>
        <w:rPr>
          <w:rFonts w:ascii="??" w:hAnsi="??"/>
          <w:snapToGrid w:val="0"/>
          <w:kern w:val="0"/>
          <w:sz w:val="30"/>
          <w:szCs w:val="30"/>
        </w:rPr>
        <w:t>2023</w:t>
      </w:r>
      <w:r>
        <w:rPr>
          <w:rFonts w:hint="eastAsia" w:ascii="宋体" w:hAnsi="宋体" w:cs="宋体"/>
          <w:snapToGrid w:val="0"/>
          <w:kern w:val="0"/>
          <w:sz w:val="30"/>
          <w:szCs w:val="30"/>
        </w:rPr>
        <w:t>年全国</w:t>
      </w:r>
      <w:r>
        <w:rPr>
          <w:rFonts w:ascii="??" w:eastAsia="Times New Roman"/>
          <w:snapToGrid w:val="0"/>
          <w:kern w:val="0"/>
          <w:sz w:val="30"/>
          <w:szCs w:val="30"/>
        </w:rPr>
        <w:t>“</w:t>
      </w:r>
      <w:r>
        <w:rPr>
          <w:rFonts w:hint="eastAsia" w:ascii="宋体" w:hAnsi="宋体" w:cs="宋体"/>
          <w:snapToGrid w:val="0"/>
          <w:kern w:val="0"/>
          <w:sz w:val="30"/>
          <w:szCs w:val="30"/>
        </w:rPr>
        <w:t>两会</w:t>
      </w:r>
      <w:r>
        <w:rPr>
          <w:rFonts w:ascii="??" w:eastAsia="Times New Roman"/>
          <w:snapToGrid w:val="0"/>
          <w:kern w:val="0"/>
          <w:sz w:val="30"/>
          <w:szCs w:val="30"/>
        </w:rPr>
        <w:t>”</w:t>
      </w:r>
      <w:r>
        <w:rPr>
          <w:rFonts w:hint="eastAsia" w:ascii="宋体" w:hAnsi="宋体" w:cs="宋体"/>
          <w:snapToGrid w:val="0"/>
          <w:kern w:val="0"/>
          <w:sz w:val="30"/>
          <w:szCs w:val="30"/>
        </w:rPr>
        <w:t>闭幕）。</w:t>
      </w:r>
      <w:r>
        <w:rPr>
          <w:rFonts w:hint="eastAsia" w:ascii="宋体" w:hAnsi="宋体" w:cs="宋体"/>
          <w:sz w:val="30"/>
          <w:szCs w:val="30"/>
        </w:rPr>
        <w:t>各专委会</w:t>
      </w:r>
      <w:r>
        <w:rPr>
          <w:rFonts w:hint="eastAsia" w:ascii="宋体" w:hAnsi="宋体" w:cs="宋体"/>
          <w:snapToGrid w:val="0"/>
          <w:kern w:val="0"/>
          <w:sz w:val="30"/>
          <w:szCs w:val="30"/>
        </w:rPr>
        <w:t>对照实施方案及各专项方案要求，精心组织实施，督促企业自查，开展专项检查，落实</w:t>
      </w:r>
      <w:r>
        <w:rPr>
          <w:rFonts w:ascii="??" w:eastAsia="Times New Roman"/>
          <w:snapToGrid w:val="0"/>
          <w:kern w:val="0"/>
          <w:sz w:val="30"/>
          <w:szCs w:val="30"/>
        </w:rPr>
        <w:t>“</w:t>
      </w:r>
      <w:r>
        <w:rPr>
          <w:rFonts w:hint="eastAsia" w:ascii="宋体" w:hAnsi="宋体" w:cs="宋体"/>
          <w:snapToGrid w:val="0"/>
          <w:kern w:val="0"/>
          <w:sz w:val="30"/>
          <w:szCs w:val="30"/>
        </w:rPr>
        <w:t>一企一表</w:t>
      </w:r>
      <w:r>
        <w:rPr>
          <w:rFonts w:ascii="??" w:eastAsia="Times New Roman"/>
          <w:snapToGrid w:val="0"/>
          <w:kern w:val="0"/>
          <w:sz w:val="30"/>
          <w:szCs w:val="30"/>
        </w:rPr>
        <w:t>”</w:t>
      </w:r>
      <w:r>
        <w:rPr>
          <w:rFonts w:hint="eastAsia" w:ascii="宋体" w:hAnsi="宋体" w:cs="宋体"/>
          <w:snapToGrid w:val="0"/>
          <w:kern w:val="0"/>
          <w:sz w:val="30"/>
          <w:szCs w:val="30"/>
        </w:rPr>
        <w:t>，从严从紧、从细从实抓好各项工作措施落实。</w:t>
      </w:r>
    </w:p>
    <w:p>
      <w:pPr>
        <w:autoSpaceDE w:val="0"/>
        <w:autoSpaceDN w:val="0"/>
        <w:adjustRightInd w:val="0"/>
        <w:spacing w:line="560" w:lineRule="exact"/>
        <w:ind w:firstLine="624"/>
        <w:contextualSpacing/>
        <w:rPr>
          <w:rFonts w:ascii="??"/>
          <w:snapToGrid w:val="0"/>
          <w:kern w:val="0"/>
          <w:sz w:val="30"/>
          <w:szCs w:val="30"/>
        </w:rPr>
      </w:pPr>
      <w:r>
        <w:rPr>
          <w:rFonts w:hint="eastAsia" w:ascii="宋体" w:hAnsi="宋体" w:cs="宋体"/>
          <w:snapToGrid w:val="0"/>
          <w:kern w:val="0"/>
          <w:sz w:val="30"/>
          <w:szCs w:val="30"/>
        </w:rPr>
        <w:t>（三）全面提升（</w:t>
      </w:r>
      <w:r>
        <w:rPr>
          <w:rFonts w:ascii="??" w:hAnsi="??"/>
          <w:snapToGrid w:val="0"/>
          <w:kern w:val="0"/>
          <w:sz w:val="30"/>
          <w:szCs w:val="30"/>
        </w:rPr>
        <w:t>2023</w:t>
      </w:r>
      <w:r>
        <w:rPr>
          <w:rFonts w:hint="eastAsia" w:ascii="宋体" w:hAnsi="宋体" w:cs="宋体"/>
          <w:snapToGrid w:val="0"/>
          <w:kern w:val="0"/>
          <w:sz w:val="30"/>
          <w:szCs w:val="30"/>
        </w:rPr>
        <w:t>年全国</w:t>
      </w:r>
      <w:r>
        <w:rPr>
          <w:rFonts w:ascii="??" w:eastAsia="Times New Roman"/>
          <w:snapToGrid w:val="0"/>
          <w:kern w:val="0"/>
          <w:sz w:val="30"/>
          <w:szCs w:val="30"/>
        </w:rPr>
        <w:t>“</w:t>
      </w:r>
      <w:r>
        <w:rPr>
          <w:rFonts w:hint="eastAsia" w:ascii="宋体" w:hAnsi="宋体" w:cs="宋体"/>
          <w:snapToGrid w:val="0"/>
          <w:kern w:val="0"/>
          <w:sz w:val="30"/>
          <w:szCs w:val="30"/>
        </w:rPr>
        <w:t>两会</w:t>
      </w:r>
      <w:r>
        <w:rPr>
          <w:rFonts w:ascii="??" w:eastAsia="Times New Roman"/>
          <w:snapToGrid w:val="0"/>
          <w:kern w:val="0"/>
          <w:sz w:val="30"/>
          <w:szCs w:val="30"/>
        </w:rPr>
        <w:t>”</w:t>
      </w:r>
      <w:r>
        <w:rPr>
          <w:rFonts w:hint="eastAsia" w:ascii="宋体" w:hAnsi="宋体" w:cs="宋体"/>
          <w:snapToGrid w:val="0"/>
          <w:kern w:val="0"/>
          <w:sz w:val="30"/>
          <w:szCs w:val="30"/>
        </w:rPr>
        <w:t>闭幕至</w:t>
      </w:r>
      <w:r>
        <w:rPr>
          <w:rFonts w:ascii="??" w:hAnsi="??"/>
          <w:snapToGrid w:val="0"/>
          <w:kern w:val="0"/>
          <w:sz w:val="30"/>
          <w:szCs w:val="30"/>
        </w:rPr>
        <w:t>3</w:t>
      </w:r>
      <w:r>
        <w:rPr>
          <w:rFonts w:hint="eastAsia" w:ascii="宋体" w:hAnsi="宋体" w:cs="宋体"/>
          <w:snapToGrid w:val="0"/>
          <w:kern w:val="0"/>
          <w:sz w:val="30"/>
          <w:szCs w:val="30"/>
        </w:rPr>
        <w:t>月底）。各村、</w:t>
      </w:r>
      <w:r>
        <w:rPr>
          <w:rFonts w:hint="eastAsia" w:ascii="宋体" w:hAnsi="宋体" w:cs="宋体"/>
          <w:sz w:val="30"/>
          <w:szCs w:val="30"/>
        </w:rPr>
        <w:t>各专委会</w:t>
      </w:r>
      <w:r>
        <w:rPr>
          <w:rFonts w:hint="eastAsia" w:ascii="宋体" w:hAnsi="宋体" w:cs="宋体"/>
          <w:snapToGrid w:val="0"/>
          <w:kern w:val="0"/>
          <w:sz w:val="30"/>
          <w:szCs w:val="30"/>
        </w:rPr>
        <w:t>全面总结行动总体情况，检查评估专项治理行动开展情况，梳理典型经验做法，通报存在问题，进一步完善制度机制。</w:t>
      </w:r>
    </w:p>
    <w:p>
      <w:pPr>
        <w:pStyle w:val="9"/>
        <w:autoSpaceDE w:val="0"/>
        <w:autoSpaceDN w:val="0"/>
        <w:spacing w:beforeAutospacing="0" w:afterAutospacing="0" w:line="560" w:lineRule="exact"/>
        <w:ind w:firstLine="600" w:firstLineChars="200"/>
        <w:jc w:val="both"/>
        <w:rPr>
          <w:rFonts w:ascii="??"/>
          <w:sz w:val="30"/>
          <w:szCs w:val="30"/>
        </w:rPr>
      </w:pPr>
      <w:r>
        <w:rPr>
          <w:rFonts w:hint="eastAsia" w:ascii="宋体" w:hAnsi="宋体" w:cs="宋体"/>
          <w:sz w:val="30"/>
          <w:szCs w:val="30"/>
        </w:rPr>
        <w:t>四、工作要求</w:t>
      </w:r>
    </w:p>
    <w:p>
      <w:pPr>
        <w:autoSpaceDE w:val="0"/>
        <w:autoSpaceDN w:val="0"/>
        <w:adjustRightInd w:val="0"/>
        <w:spacing w:line="560" w:lineRule="exact"/>
        <w:ind w:firstLine="600" w:firstLineChars="200"/>
        <w:contextualSpacing/>
        <w:rPr>
          <w:rFonts w:ascii="??"/>
          <w:sz w:val="30"/>
          <w:szCs w:val="30"/>
        </w:rPr>
      </w:pPr>
      <w:r>
        <w:rPr>
          <w:rFonts w:hint="eastAsia" w:ascii="宋体" w:hAnsi="宋体" w:cs="宋体"/>
          <w:sz w:val="30"/>
          <w:szCs w:val="30"/>
        </w:rPr>
        <w:t>各村、各专委会要强化时时放心不下的责任感和事事落实到位的执行力，</w:t>
      </w:r>
      <w:r>
        <w:rPr>
          <w:rFonts w:hint="eastAsia" w:ascii="宋体" w:hAnsi="宋体" w:cs="宋体"/>
          <w:snapToGrid w:val="0"/>
          <w:kern w:val="0"/>
          <w:sz w:val="30"/>
          <w:szCs w:val="30"/>
        </w:rPr>
        <w:t>统筹抓好经济发展、疫情防控和安全生产工作，</w:t>
      </w:r>
      <w:r>
        <w:rPr>
          <w:rFonts w:hint="eastAsia" w:ascii="宋体" w:hAnsi="宋体" w:cs="宋体"/>
          <w:sz w:val="30"/>
          <w:szCs w:val="30"/>
        </w:rPr>
        <w:t>在全面梳理总结百日攻坚经验做法的基础上，针对冬季防范重点研究制定务实管用的实招硬招，切实摸清底数、堵塞漏洞，提升本质安全水平，坚决守牢安全生产底线。</w:t>
      </w:r>
    </w:p>
    <w:p>
      <w:pPr>
        <w:autoSpaceDE w:val="0"/>
        <w:autoSpaceDN w:val="0"/>
        <w:adjustRightInd w:val="0"/>
        <w:spacing w:line="560" w:lineRule="exact"/>
        <w:ind w:firstLine="600" w:firstLineChars="200"/>
        <w:contextualSpacing/>
        <w:rPr>
          <w:rFonts w:ascii="??"/>
          <w:sz w:val="30"/>
          <w:szCs w:val="30"/>
        </w:rPr>
      </w:pPr>
      <w:r>
        <w:rPr>
          <w:rFonts w:hint="eastAsia" w:ascii="宋体" w:hAnsi="宋体" w:cs="宋体"/>
          <w:sz w:val="30"/>
          <w:szCs w:val="30"/>
        </w:rPr>
        <w:t>（一）强化组织领导。各专委会要认真研究，高度重视，结合自身监管职责制定切实可行的专项方案。主要负责人要亲自推动，定期调度，带头研究和攻坚治理过程中遇到的重点和难点问题。各村组织网格员对辖区内</w:t>
      </w:r>
      <w:r>
        <w:rPr>
          <w:rFonts w:hint="eastAsia"/>
          <w:sz w:val="30"/>
          <w:szCs w:val="30"/>
        </w:rPr>
        <w:t>生产经营单位巡查，</w:t>
      </w:r>
      <w:r>
        <w:rPr>
          <w:rFonts w:hint="eastAsia" w:ascii="宋体" w:hAnsi="宋体" w:cs="宋体"/>
          <w:sz w:val="30"/>
          <w:szCs w:val="30"/>
        </w:rPr>
        <w:t>发现问题及时上报镇安委会，同时成立夜间巡查队，</w:t>
      </w:r>
      <w:r>
        <w:rPr>
          <w:rFonts w:hint="eastAsia"/>
          <w:sz w:val="30"/>
          <w:szCs w:val="30"/>
        </w:rPr>
        <w:t>督查本辖区内闲置厂房，</w:t>
      </w:r>
      <w:r>
        <w:rPr>
          <w:rFonts w:hint="eastAsia" w:ascii="宋体" w:hAnsi="宋体" w:cs="宋体"/>
          <w:sz w:val="30"/>
          <w:szCs w:val="30"/>
        </w:rPr>
        <w:t>夜间生产企业及</w:t>
      </w:r>
      <w:r>
        <w:rPr>
          <w:rFonts w:hint="eastAsia"/>
          <w:sz w:val="30"/>
          <w:szCs w:val="30"/>
        </w:rPr>
        <w:t>非法违法盗采等。</w:t>
      </w:r>
      <w:r>
        <w:rPr>
          <w:rFonts w:hint="eastAsia" w:ascii="宋体" w:hAnsi="宋体" w:cs="宋体"/>
          <w:sz w:val="30"/>
          <w:szCs w:val="30"/>
        </w:rPr>
        <w:t>镇安委办将每周调度、通报工作推进情况。</w:t>
      </w:r>
    </w:p>
    <w:p>
      <w:pPr>
        <w:autoSpaceDE w:val="0"/>
        <w:autoSpaceDN w:val="0"/>
        <w:adjustRightInd w:val="0"/>
        <w:spacing w:line="560" w:lineRule="exact"/>
        <w:ind w:firstLine="600" w:firstLineChars="200"/>
        <w:contextualSpacing/>
        <w:rPr>
          <w:rFonts w:ascii="??"/>
          <w:sz w:val="30"/>
          <w:szCs w:val="30"/>
        </w:rPr>
      </w:pPr>
      <w:r>
        <w:rPr>
          <w:rFonts w:hint="eastAsia" w:ascii="宋体" w:hAnsi="宋体" w:cs="宋体"/>
          <w:sz w:val="30"/>
          <w:szCs w:val="30"/>
        </w:rPr>
        <w:t>（二）强化责任落实。各专委会要强化责任落实，指导、督促监管行业开展自查。坚持</w:t>
      </w:r>
      <w:r>
        <w:rPr>
          <w:rFonts w:ascii="??" w:hAnsi="??"/>
          <w:sz w:val="30"/>
          <w:szCs w:val="30"/>
        </w:rPr>
        <w:t>“</w:t>
      </w:r>
      <w:r>
        <w:rPr>
          <w:rFonts w:hint="eastAsia" w:ascii="宋体" w:hAnsi="宋体" w:cs="宋体"/>
          <w:sz w:val="30"/>
          <w:szCs w:val="30"/>
        </w:rPr>
        <w:t>三个清单</w:t>
      </w:r>
      <w:r>
        <w:rPr>
          <w:rFonts w:ascii="??" w:hAnsi="??"/>
          <w:sz w:val="30"/>
          <w:szCs w:val="30"/>
        </w:rPr>
        <w:t>”</w:t>
      </w:r>
      <w:r>
        <w:rPr>
          <w:rFonts w:hint="eastAsia" w:ascii="宋体" w:hAnsi="宋体" w:cs="宋体"/>
          <w:sz w:val="30"/>
          <w:szCs w:val="30"/>
        </w:rPr>
        <w:t>，</w:t>
      </w:r>
      <w:r>
        <w:rPr>
          <w:rFonts w:hint="eastAsia" w:ascii="宋体" w:hAnsi="宋体" w:cs="宋体"/>
          <w:b/>
          <w:bCs/>
          <w:sz w:val="30"/>
          <w:szCs w:val="30"/>
        </w:rPr>
        <w:t>一要</w:t>
      </w:r>
      <w:r>
        <w:rPr>
          <w:rFonts w:hint="eastAsia" w:ascii="宋体" w:hAnsi="宋体" w:cs="宋体"/>
          <w:sz w:val="30"/>
          <w:szCs w:val="30"/>
        </w:rPr>
        <w:t>深入查找问题隐患，逐一形成问题清单，精准交办；</w:t>
      </w:r>
      <w:r>
        <w:rPr>
          <w:rFonts w:hint="eastAsia" w:ascii="宋体" w:hAnsi="宋体" w:cs="宋体"/>
          <w:b/>
          <w:bCs/>
          <w:sz w:val="30"/>
          <w:szCs w:val="30"/>
        </w:rPr>
        <w:t>二要</w:t>
      </w:r>
      <w:r>
        <w:rPr>
          <w:rFonts w:hint="eastAsia" w:ascii="宋体" w:hAnsi="宋体" w:cs="宋体"/>
          <w:sz w:val="30"/>
          <w:szCs w:val="30"/>
        </w:rPr>
        <w:t>督促整改责任单位根据问题清单要求制定整改方案，列出时间表和路线图，确保责任到人；</w:t>
      </w:r>
      <w:r>
        <w:rPr>
          <w:rFonts w:hint="eastAsia" w:ascii="宋体" w:hAnsi="宋体" w:cs="宋体"/>
          <w:b/>
          <w:bCs/>
          <w:sz w:val="30"/>
          <w:szCs w:val="30"/>
        </w:rPr>
        <w:t>三要</w:t>
      </w:r>
      <w:r>
        <w:rPr>
          <w:rFonts w:hint="eastAsia" w:ascii="宋体" w:hAnsi="宋体" w:cs="宋体"/>
          <w:sz w:val="30"/>
          <w:szCs w:val="30"/>
        </w:rPr>
        <w:t>对照问题清单和措施清单及时开展</w:t>
      </w:r>
      <w:r>
        <w:rPr>
          <w:rFonts w:ascii="??" w:hAnsi="??"/>
          <w:sz w:val="30"/>
          <w:szCs w:val="30"/>
        </w:rPr>
        <w:t>“</w:t>
      </w:r>
      <w:r>
        <w:rPr>
          <w:rFonts w:hint="eastAsia" w:ascii="宋体" w:hAnsi="宋体" w:cs="宋体"/>
          <w:sz w:val="30"/>
          <w:szCs w:val="30"/>
        </w:rPr>
        <w:t>回头看</w:t>
      </w:r>
      <w:r>
        <w:rPr>
          <w:rFonts w:ascii="??" w:hAnsi="??"/>
          <w:sz w:val="30"/>
          <w:szCs w:val="30"/>
        </w:rPr>
        <w:t>”</w:t>
      </w:r>
      <w:r>
        <w:rPr>
          <w:rFonts w:hint="eastAsia" w:ascii="宋体" w:hAnsi="宋体" w:cs="宋体"/>
          <w:sz w:val="30"/>
          <w:szCs w:val="30"/>
        </w:rPr>
        <w:t>，要严格落实销号程序，及时开展销号问题复查，形成工作闭环。</w:t>
      </w:r>
    </w:p>
    <w:p>
      <w:pPr>
        <w:autoSpaceDE w:val="0"/>
        <w:autoSpaceDN w:val="0"/>
        <w:adjustRightInd w:val="0"/>
        <w:spacing w:line="560" w:lineRule="exact"/>
        <w:ind w:firstLine="600" w:firstLineChars="200"/>
        <w:contextualSpacing/>
        <w:rPr>
          <w:rFonts w:ascii="??"/>
          <w:sz w:val="30"/>
          <w:szCs w:val="30"/>
        </w:rPr>
      </w:pPr>
      <w:r>
        <w:rPr>
          <w:rFonts w:hint="eastAsia" w:ascii="宋体" w:hAnsi="宋体" w:cs="宋体"/>
          <w:sz w:val="30"/>
          <w:szCs w:val="30"/>
        </w:rPr>
        <w:t>（三）强化宣传引导。各村、各专委会要加强宣传力度，在公共服务场所、企业车间门口等醒目位置悬挂张贴宣传标语，要利用流动宣传车、</w:t>
      </w:r>
      <w:r>
        <w:rPr>
          <w:rFonts w:ascii="??" w:hAnsi="??"/>
          <w:sz w:val="30"/>
          <w:szCs w:val="30"/>
        </w:rPr>
        <w:t>LED</w:t>
      </w:r>
      <w:r>
        <w:rPr>
          <w:rFonts w:hint="eastAsia" w:ascii="宋体" w:hAnsi="宋体" w:cs="宋体"/>
          <w:sz w:val="30"/>
          <w:szCs w:val="30"/>
        </w:rPr>
        <w:t>屏幕、村应急广播、</w:t>
      </w:r>
      <w:r>
        <w:rPr>
          <w:rFonts w:ascii="??" w:eastAsia="Times New Roman"/>
          <w:sz w:val="30"/>
          <w:szCs w:val="30"/>
        </w:rPr>
        <w:t xml:space="preserve"> “</w:t>
      </w:r>
      <w:r>
        <w:rPr>
          <w:rFonts w:hint="eastAsia" w:ascii="宋体" w:hAnsi="宋体" w:cs="宋体"/>
          <w:sz w:val="30"/>
          <w:szCs w:val="30"/>
        </w:rPr>
        <w:t>大喇叭</w:t>
      </w:r>
      <w:r>
        <w:rPr>
          <w:rFonts w:ascii="??" w:eastAsia="Times New Roman"/>
          <w:sz w:val="30"/>
          <w:szCs w:val="30"/>
        </w:rPr>
        <w:t>”</w:t>
      </w:r>
      <w:r>
        <w:rPr>
          <w:rFonts w:hint="eastAsia" w:ascii="宋体" w:hAnsi="宋体" w:cs="宋体"/>
          <w:sz w:val="30"/>
          <w:szCs w:val="30"/>
        </w:rPr>
        <w:t>等持续滚动播放冬季安全生产常识，要适时组织开展专题培训和宣传教育活动。镇安委办对行动中发现的重大隐患进行督办，对典型案例适时通报，加强正面引导，营造浓厚的安全生产宣传氛围。</w:t>
      </w:r>
    </w:p>
    <w:p>
      <w:pPr>
        <w:autoSpaceDE w:val="0"/>
        <w:autoSpaceDN w:val="0"/>
        <w:adjustRightInd w:val="0"/>
        <w:spacing w:line="560" w:lineRule="exact"/>
        <w:ind w:firstLine="600" w:firstLineChars="200"/>
        <w:contextualSpacing/>
        <w:rPr>
          <w:rFonts w:ascii="??"/>
          <w:b/>
          <w:bCs/>
          <w:sz w:val="30"/>
          <w:szCs w:val="30"/>
        </w:rPr>
      </w:pPr>
      <w:r>
        <w:rPr>
          <w:rFonts w:hint="eastAsia" w:ascii="宋体" w:hAnsi="宋体" w:cs="宋体"/>
          <w:sz w:val="30"/>
          <w:szCs w:val="30"/>
        </w:rPr>
        <w:t>（四）强化监督考核。镇安委办将工作推进情况</w:t>
      </w:r>
      <w:r>
        <w:rPr>
          <w:rFonts w:hint="eastAsia" w:ascii="宋体" w:hAnsi="宋体" w:cs="宋体"/>
          <w:sz w:val="30"/>
          <w:szCs w:val="30"/>
          <w:lang w:val="zh-CN"/>
        </w:rPr>
        <w:t>纳入季度安全生产考核，</w:t>
      </w:r>
      <w:r>
        <w:rPr>
          <w:rFonts w:hint="eastAsia" w:ascii="宋体" w:hAnsi="宋体" w:cs="宋体"/>
          <w:sz w:val="30"/>
          <w:szCs w:val="30"/>
        </w:rPr>
        <w:t>对工作进度缓慢、推诿扯皮、治理不力的，镇安委办予以通报；对问题严重的由纪委约谈；对工作中失职失责、不作为导致事故发生的，严肃依法依规从严追究有关单位和人员的责任。</w:t>
      </w:r>
    </w:p>
    <w:p>
      <w:pPr>
        <w:autoSpaceDE w:val="0"/>
        <w:autoSpaceDN w:val="0"/>
        <w:adjustRightInd w:val="0"/>
        <w:spacing w:line="560" w:lineRule="exact"/>
        <w:ind w:firstLine="624"/>
        <w:contextualSpacing/>
        <w:rPr>
          <w:rFonts w:ascii="??"/>
          <w:sz w:val="30"/>
          <w:szCs w:val="30"/>
        </w:rPr>
      </w:pPr>
      <w:r>
        <w:rPr>
          <w:rFonts w:hint="eastAsia" w:ascii="宋体" w:hAnsi="宋体" w:cs="宋体"/>
          <w:sz w:val="30"/>
          <w:szCs w:val="30"/>
        </w:rPr>
        <w:t>各专委会要严格信息报送。</w:t>
      </w:r>
      <w:r>
        <w:rPr>
          <w:rFonts w:hint="eastAsia" w:ascii="宋体" w:hAnsi="宋体" w:cs="宋体"/>
          <w:snapToGrid w:val="0"/>
          <w:kern w:val="0"/>
          <w:sz w:val="30"/>
          <w:szCs w:val="30"/>
        </w:rPr>
        <w:t>每周五报送《冬季安全生产专项治理行动开展情况汇总表》（附件</w:t>
      </w:r>
      <w:r>
        <w:rPr>
          <w:rFonts w:ascii="??" w:hAnsi="??"/>
          <w:snapToGrid w:val="0"/>
          <w:kern w:val="0"/>
          <w:sz w:val="30"/>
          <w:szCs w:val="30"/>
        </w:rPr>
        <w:t>1</w:t>
      </w:r>
      <w:r>
        <w:rPr>
          <w:rFonts w:hint="eastAsia" w:ascii="宋体" w:hAnsi="宋体" w:cs="宋体"/>
          <w:snapToGrid w:val="0"/>
          <w:kern w:val="0"/>
          <w:sz w:val="30"/>
          <w:szCs w:val="30"/>
        </w:rPr>
        <w:t>），同步报送三个清单（附件</w:t>
      </w:r>
      <w:r>
        <w:rPr>
          <w:rFonts w:ascii="??" w:hAnsi="??"/>
          <w:snapToGrid w:val="0"/>
          <w:kern w:val="0"/>
          <w:sz w:val="30"/>
          <w:szCs w:val="30"/>
        </w:rPr>
        <w:t>2</w:t>
      </w:r>
      <w:r>
        <w:rPr>
          <w:rFonts w:hint="eastAsia" w:ascii="宋体" w:hAnsi="宋体" w:cs="宋体"/>
          <w:snapToGrid w:val="0"/>
          <w:kern w:val="0"/>
          <w:sz w:val="30"/>
          <w:szCs w:val="30"/>
        </w:rPr>
        <w:t>、</w:t>
      </w:r>
      <w:r>
        <w:rPr>
          <w:rFonts w:ascii="??" w:hAnsi="??"/>
          <w:snapToGrid w:val="0"/>
          <w:kern w:val="0"/>
          <w:sz w:val="30"/>
          <w:szCs w:val="30"/>
        </w:rPr>
        <w:t>3</w:t>
      </w:r>
      <w:r>
        <w:rPr>
          <w:rFonts w:hint="eastAsia" w:ascii="宋体" w:hAnsi="宋体" w:cs="宋体"/>
          <w:snapToGrid w:val="0"/>
          <w:kern w:val="0"/>
          <w:sz w:val="30"/>
          <w:szCs w:val="30"/>
        </w:rPr>
        <w:t>、</w:t>
      </w:r>
      <w:r>
        <w:rPr>
          <w:rFonts w:ascii="??" w:hAnsi="??"/>
          <w:snapToGrid w:val="0"/>
          <w:kern w:val="0"/>
          <w:sz w:val="30"/>
          <w:szCs w:val="30"/>
        </w:rPr>
        <w:t>4</w:t>
      </w:r>
      <w:r>
        <w:rPr>
          <w:rFonts w:hint="eastAsia" w:ascii="宋体" w:hAnsi="宋体" w:cs="宋体"/>
          <w:snapToGrid w:val="0"/>
          <w:kern w:val="0"/>
          <w:sz w:val="30"/>
          <w:szCs w:val="30"/>
        </w:rPr>
        <w:t>）；</w:t>
      </w:r>
      <w:r>
        <w:rPr>
          <w:rFonts w:ascii="??" w:hAnsi="??"/>
          <w:snapToGrid w:val="0"/>
          <w:kern w:val="0"/>
          <w:sz w:val="30"/>
          <w:szCs w:val="30"/>
        </w:rPr>
        <w:t>12</w:t>
      </w:r>
      <w:r>
        <w:rPr>
          <w:rFonts w:hint="eastAsia" w:ascii="宋体" w:hAnsi="宋体" w:cs="宋体"/>
          <w:snapToGrid w:val="0"/>
          <w:kern w:val="0"/>
          <w:sz w:val="30"/>
          <w:szCs w:val="30"/>
        </w:rPr>
        <w:t>月</w:t>
      </w:r>
      <w:r>
        <w:rPr>
          <w:rFonts w:ascii="??" w:hAnsi="??"/>
          <w:snapToGrid w:val="0"/>
          <w:kern w:val="0"/>
          <w:sz w:val="30"/>
          <w:szCs w:val="30"/>
        </w:rPr>
        <w:t>15</w:t>
      </w:r>
      <w:r>
        <w:rPr>
          <w:rFonts w:hint="eastAsia" w:ascii="宋体" w:hAnsi="宋体" w:cs="宋体"/>
          <w:snapToGrid w:val="0"/>
          <w:kern w:val="0"/>
          <w:sz w:val="30"/>
          <w:szCs w:val="30"/>
        </w:rPr>
        <w:t>日前报送冬季安全生产专项治理行动部署情况；</w:t>
      </w:r>
      <w:r>
        <w:rPr>
          <w:rFonts w:ascii="??" w:hAnsi="??"/>
          <w:snapToGrid w:val="0"/>
          <w:kern w:val="0"/>
          <w:sz w:val="30"/>
          <w:szCs w:val="30"/>
        </w:rPr>
        <w:t xml:space="preserve"> 2023</w:t>
      </w:r>
      <w:r>
        <w:rPr>
          <w:rFonts w:hint="eastAsia" w:ascii="宋体" w:hAnsi="宋体" w:cs="宋体"/>
          <w:snapToGrid w:val="0"/>
          <w:kern w:val="0"/>
          <w:sz w:val="30"/>
          <w:szCs w:val="30"/>
        </w:rPr>
        <w:t>年</w:t>
      </w:r>
      <w:r>
        <w:rPr>
          <w:rFonts w:ascii="??" w:hAnsi="??"/>
          <w:snapToGrid w:val="0"/>
          <w:kern w:val="0"/>
          <w:sz w:val="30"/>
          <w:szCs w:val="30"/>
        </w:rPr>
        <w:t>3</w:t>
      </w:r>
      <w:r>
        <w:rPr>
          <w:rFonts w:hint="eastAsia" w:ascii="宋体" w:hAnsi="宋体" w:cs="宋体"/>
          <w:snapToGrid w:val="0"/>
          <w:kern w:val="0"/>
          <w:sz w:val="30"/>
          <w:szCs w:val="30"/>
        </w:rPr>
        <w:t>月</w:t>
      </w:r>
      <w:r>
        <w:rPr>
          <w:rFonts w:ascii="??" w:hAnsi="??"/>
          <w:snapToGrid w:val="0"/>
          <w:kern w:val="0"/>
          <w:sz w:val="30"/>
          <w:szCs w:val="30"/>
        </w:rPr>
        <w:t>17</w:t>
      </w:r>
      <w:r>
        <w:rPr>
          <w:rFonts w:hint="eastAsia" w:ascii="宋体" w:hAnsi="宋体" w:cs="宋体"/>
          <w:snapToGrid w:val="0"/>
          <w:kern w:val="0"/>
          <w:sz w:val="30"/>
          <w:szCs w:val="30"/>
        </w:rPr>
        <w:t>日前报送行动工作总结，相关材料需将电子版及盖章扫描件报送至镇安委办。</w:t>
      </w:r>
    </w:p>
    <w:p>
      <w:pPr>
        <w:autoSpaceDE w:val="0"/>
        <w:autoSpaceDN w:val="0"/>
        <w:adjustRightInd w:val="0"/>
        <w:spacing w:line="560" w:lineRule="exact"/>
        <w:ind w:firstLine="624"/>
        <w:contextualSpacing/>
        <w:rPr>
          <w:rFonts w:ascii="??"/>
          <w:snapToGrid w:val="0"/>
          <w:kern w:val="0"/>
          <w:sz w:val="30"/>
          <w:szCs w:val="30"/>
        </w:rPr>
      </w:pPr>
      <w:r>
        <w:rPr>
          <w:rFonts w:hint="eastAsia" w:ascii="宋体" w:hAnsi="宋体" w:cs="宋体"/>
          <w:sz w:val="30"/>
          <w:szCs w:val="30"/>
        </w:rPr>
        <w:t>附件：</w:t>
      </w:r>
      <w:r>
        <w:rPr>
          <w:rFonts w:ascii="??" w:hAnsi="??"/>
          <w:snapToGrid w:val="0"/>
          <w:kern w:val="0"/>
          <w:sz w:val="30"/>
          <w:szCs w:val="30"/>
        </w:rPr>
        <w:t>1.</w:t>
      </w:r>
      <w:r>
        <w:rPr>
          <w:rFonts w:hint="eastAsia" w:ascii="宋体" w:hAnsi="宋体" w:cs="宋体"/>
          <w:snapToGrid w:val="0"/>
          <w:kern w:val="0"/>
          <w:sz w:val="30"/>
          <w:szCs w:val="30"/>
        </w:rPr>
        <w:t>冬季安全生产专项治理行动开展情况汇总表</w:t>
      </w:r>
    </w:p>
    <w:p>
      <w:pPr>
        <w:autoSpaceDE w:val="0"/>
        <w:autoSpaceDN w:val="0"/>
        <w:adjustRightInd w:val="0"/>
        <w:spacing w:line="560" w:lineRule="exact"/>
        <w:ind w:firstLine="1491" w:firstLineChars="497"/>
        <w:contextualSpacing/>
        <w:rPr>
          <w:rFonts w:ascii="??"/>
          <w:snapToGrid w:val="0"/>
          <w:kern w:val="0"/>
          <w:sz w:val="30"/>
          <w:szCs w:val="30"/>
        </w:rPr>
      </w:pPr>
      <w:r>
        <w:rPr>
          <w:rFonts w:ascii="??" w:hAnsi="??"/>
          <w:snapToGrid w:val="0"/>
          <w:kern w:val="0"/>
          <w:sz w:val="30"/>
          <w:szCs w:val="30"/>
        </w:rPr>
        <w:t>2.</w:t>
      </w:r>
      <w:r>
        <w:rPr>
          <w:rFonts w:hint="eastAsia" w:ascii="宋体" w:hAnsi="宋体" w:cs="宋体"/>
          <w:snapToGrid w:val="0"/>
          <w:kern w:val="0"/>
          <w:sz w:val="30"/>
          <w:szCs w:val="30"/>
        </w:rPr>
        <w:t>安全生产问题清单；</w:t>
      </w:r>
    </w:p>
    <w:p>
      <w:pPr>
        <w:autoSpaceDE w:val="0"/>
        <w:autoSpaceDN w:val="0"/>
        <w:adjustRightInd w:val="0"/>
        <w:spacing w:line="560" w:lineRule="exact"/>
        <w:ind w:firstLine="1491" w:firstLineChars="497"/>
        <w:contextualSpacing/>
        <w:rPr>
          <w:rFonts w:ascii="??"/>
          <w:snapToGrid w:val="0"/>
          <w:kern w:val="0"/>
          <w:sz w:val="30"/>
          <w:szCs w:val="30"/>
        </w:rPr>
      </w:pPr>
      <w:r>
        <w:rPr>
          <w:rFonts w:ascii="??" w:hAnsi="??"/>
          <w:snapToGrid w:val="0"/>
          <w:kern w:val="0"/>
          <w:sz w:val="30"/>
          <w:szCs w:val="30"/>
        </w:rPr>
        <w:t>3.</w:t>
      </w:r>
      <w:r>
        <w:rPr>
          <w:rFonts w:hint="eastAsia" w:ascii="宋体" w:hAnsi="宋体" w:cs="宋体"/>
          <w:snapToGrid w:val="0"/>
          <w:kern w:val="0"/>
          <w:sz w:val="30"/>
          <w:szCs w:val="30"/>
        </w:rPr>
        <w:t>安全生产措施清单；</w:t>
      </w:r>
    </w:p>
    <w:p>
      <w:pPr>
        <w:autoSpaceDE w:val="0"/>
        <w:autoSpaceDN w:val="0"/>
        <w:adjustRightInd w:val="0"/>
        <w:spacing w:line="560" w:lineRule="exact"/>
        <w:ind w:firstLine="1491" w:firstLineChars="497"/>
        <w:contextualSpacing/>
        <w:rPr>
          <w:rFonts w:ascii="??"/>
          <w:snapToGrid w:val="0"/>
          <w:kern w:val="0"/>
          <w:sz w:val="30"/>
          <w:szCs w:val="30"/>
        </w:rPr>
      </w:pPr>
      <w:r>
        <w:rPr>
          <w:rFonts w:ascii="??" w:hAnsi="??"/>
          <w:snapToGrid w:val="0"/>
          <w:kern w:val="0"/>
          <w:sz w:val="30"/>
          <w:szCs w:val="30"/>
        </w:rPr>
        <w:t>4.</w:t>
      </w:r>
      <w:r>
        <w:rPr>
          <w:rFonts w:hint="eastAsia" w:ascii="宋体" w:hAnsi="宋体" w:cs="宋体"/>
          <w:snapToGrid w:val="0"/>
          <w:kern w:val="0"/>
          <w:sz w:val="30"/>
          <w:szCs w:val="30"/>
        </w:rPr>
        <w:t>安全生产销号清单。</w:t>
      </w:r>
    </w:p>
    <w:p>
      <w:pPr>
        <w:rPr>
          <w:rFonts w:ascii="??"/>
          <w:snapToGrid w:val="0"/>
          <w:kern w:val="0"/>
          <w:sz w:val="30"/>
          <w:szCs w:val="30"/>
        </w:rPr>
      </w:pPr>
    </w:p>
    <w:p>
      <w:pPr>
        <w:pStyle w:val="10"/>
        <w:ind w:firstLine="600"/>
        <w:rPr>
          <w:rFonts w:ascii="??"/>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851" w:footer="992" w:gutter="0"/>
          <w:cols w:space="425" w:num="1"/>
          <w:docGrid w:type="lines" w:linePitch="312" w:charSpace="0"/>
        </w:sectPr>
      </w:pPr>
    </w:p>
    <w:tbl>
      <w:tblPr>
        <w:tblStyle w:val="11"/>
        <w:tblW w:w="14664" w:type="dxa"/>
        <w:tblInd w:w="93" w:type="dxa"/>
        <w:tblLayout w:type="autofit"/>
        <w:tblCellMar>
          <w:top w:w="0" w:type="dxa"/>
          <w:left w:w="108" w:type="dxa"/>
          <w:bottom w:w="0" w:type="dxa"/>
          <w:right w:w="108" w:type="dxa"/>
        </w:tblCellMar>
      </w:tblPr>
      <w:tblGrid>
        <w:gridCol w:w="1455"/>
        <w:gridCol w:w="900"/>
        <w:gridCol w:w="184"/>
        <w:gridCol w:w="750"/>
        <w:gridCol w:w="1005"/>
        <w:gridCol w:w="761"/>
        <w:gridCol w:w="895"/>
        <w:gridCol w:w="725"/>
        <w:gridCol w:w="900"/>
        <w:gridCol w:w="73"/>
        <w:gridCol w:w="671"/>
        <w:gridCol w:w="750"/>
        <w:gridCol w:w="1080"/>
        <w:gridCol w:w="1080"/>
        <w:gridCol w:w="915"/>
        <w:gridCol w:w="900"/>
        <w:gridCol w:w="840"/>
        <w:gridCol w:w="780"/>
      </w:tblGrid>
      <w:tr>
        <w:tblPrEx>
          <w:tblCellMar>
            <w:top w:w="0" w:type="dxa"/>
            <w:left w:w="108" w:type="dxa"/>
            <w:bottom w:w="0" w:type="dxa"/>
            <w:right w:w="108" w:type="dxa"/>
          </w:tblCellMar>
        </w:tblPrEx>
        <w:trPr>
          <w:trHeight w:val="616" w:hRule="atLeast"/>
        </w:trPr>
        <w:tc>
          <w:tcPr>
            <w:tcW w:w="14664" w:type="dxa"/>
            <w:gridSpan w:val="18"/>
            <w:tcBorders>
              <w:top w:val="nil"/>
              <w:left w:val="nil"/>
              <w:bottom w:val="nil"/>
              <w:right w:val="nil"/>
            </w:tcBorders>
            <w:noWrap/>
            <w:vAlign w:val="center"/>
          </w:tcPr>
          <w:p>
            <w:pPr>
              <w:autoSpaceDE w:val="0"/>
              <w:autoSpaceDN w:val="0"/>
              <w:adjustRightInd w:val="0"/>
              <w:spacing w:line="560" w:lineRule="exact"/>
              <w:contextualSpacing/>
              <w:rPr>
                <w:rFonts w:ascii="??"/>
                <w:snapToGrid w:val="0"/>
                <w:kern w:val="0"/>
                <w:sz w:val="28"/>
                <w:szCs w:val="28"/>
              </w:rPr>
            </w:pPr>
            <w:r>
              <w:rPr>
                <w:rFonts w:hint="eastAsia" w:ascii="宋体" w:hAnsi="宋体" w:cs="宋体"/>
                <w:snapToGrid w:val="0"/>
                <w:kern w:val="0"/>
                <w:sz w:val="28"/>
                <w:szCs w:val="28"/>
              </w:rPr>
              <w:t>附件</w:t>
            </w:r>
            <w:r>
              <w:rPr>
                <w:rFonts w:ascii="??" w:hAnsi="??"/>
                <w:snapToGrid w:val="0"/>
                <w:kern w:val="0"/>
                <w:sz w:val="28"/>
                <w:szCs w:val="28"/>
              </w:rPr>
              <w:t>1</w:t>
            </w:r>
            <w:r>
              <w:rPr>
                <w:rFonts w:hint="eastAsia" w:ascii="宋体" w:hAnsi="宋体" w:cs="宋体"/>
                <w:snapToGrid w:val="0"/>
                <w:kern w:val="0"/>
                <w:sz w:val="28"/>
                <w:szCs w:val="28"/>
              </w:rPr>
              <w:t>：</w:t>
            </w:r>
          </w:p>
          <w:p>
            <w:pPr>
              <w:widowControl/>
              <w:jc w:val="center"/>
              <w:textAlignment w:val="center"/>
              <w:rPr>
                <w:rFonts w:ascii="黑体" w:hAnsi="黑体" w:eastAsia="黑体"/>
                <w:color w:val="000000"/>
                <w:sz w:val="44"/>
                <w:szCs w:val="44"/>
              </w:rPr>
            </w:pPr>
            <w:r>
              <w:rPr>
                <w:rFonts w:hint="eastAsia" w:ascii="黑体" w:hAnsi="黑体" w:eastAsia="黑体"/>
                <w:color w:val="000000"/>
                <w:kern w:val="0"/>
                <w:sz w:val="44"/>
                <w:szCs w:val="44"/>
              </w:rPr>
              <w:t>冬季安全生产专项治理行动开展情况汇总表</w:t>
            </w:r>
          </w:p>
        </w:tc>
      </w:tr>
      <w:tr>
        <w:tblPrEx>
          <w:tblCellMar>
            <w:top w:w="0" w:type="dxa"/>
            <w:left w:w="108" w:type="dxa"/>
            <w:bottom w:w="0" w:type="dxa"/>
            <w:right w:w="108" w:type="dxa"/>
          </w:tblCellMar>
        </w:tblPrEx>
        <w:trPr>
          <w:trHeight w:val="270" w:hRule="atLeast"/>
        </w:trPr>
        <w:tc>
          <w:tcPr>
            <w:tcW w:w="2539" w:type="dxa"/>
            <w:gridSpan w:val="3"/>
            <w:tcBorders>
              <w:top w:val="nil"/>
              <w:left w:val="nil"/>
              <w:bottom w:val="nil"/>
              <w:right w:val="nil"/>
            </w:tcBorders>
            <w:vAlign w:val="center"/>
          </w:tcPr>
          <w:p>
            <w:pPr>
              <w:widowControl/>
              <w:jc w:val="center"/>
              <w:textAlignment w:val="center"/>
              <w:rPr>
                <w:rFonts w:ascii="??"/>
                <w:color w:val="000000"/>
                <w:sz w:val="28"/>
                <w:szCs w:val="28"/>
              </w:rPr>
            </w:pPr>
            <w:r>
              <w:rPr>
                <w:rFonts w:hint="eastAsia" w:ascii="宋体" w:hAnsi="宋体" w:cs="宋体"/>
                <w:color w:val="000000"/>
                <w:kern w:val="0"/>
                <w:sz w:val="28"/>
                <w:szCs w:val="28"/>
              </w:rPr>
              <w:t>填报部门：（盖章）</w:t>
            </w:r>
          </w:p>
        </w:tc>
        <w:tc>
          <w:tcPr>
            <w:tcW w:w="750" w:type="dxa"/>
            <w:tcBorders>
              <w:top w:val="nil"/>
              <w:left w:val="nil"/>
              <w:bottom w:val="nil"/>
              <w:right w:val="nil"/>
            </w:tcBorders>
            <w:vAlign w:val="center"/>
          </w:tcPr>
          <w:p>
            <w:pPr>
              <w:jc w:val="center"/>
              <w:rPr>
                <w:rFonts w:ascii="??"/>
                <w:color w:val="000000"/>
                <w:sz w:val="28"/>
                <w:szCs w:val="28"/>
              </w:rPr>
            </w:pPr>
          </w:p>
        </w:tc>
        <w:tc>
          <w:tcPr>
            <w:tcW w:w="1005" w:type="dxa"/>
            <w:tcBorders>
              <w:top w:val="nil"/>
              <w:left w:val="nil"/>
              <w:bottom w:val="nil"/>
              <w:right w:val="nil"/>
            </w:tcBorders>
            <w:vAlign w:val="center"/>
          </w:tcPr>
          <w:p>
            <w:pPr>
              <w:jc w:val="center"/>
              <w:rPr>
                <w:rFonts w:ascii="??"/>
                <w:color w:val="000000"/>
                <w:sz w:val="28"/>
                <w:szCs w:val="28"/>
              </w:rPr>
            </w:pPr>
          </w:p>
        </w:tc>
        <w:tc>
          <w:tcPr>
            <w:tcW w:w="761" w:type="dxa"/>
            <w:tcBorders>
              <w:top w:val="nil"/>
              <w:left w:val="nil"/>
              <w:bottom w:val="nil"/>
              <w:right w:val="nil"/>
            </w:tcBorders>
            <w:vAlign w:val="center"/>
          </w:tcPr>
          <w:p>
            <w:pPr>
              <w:jc w:val="center"/>
              <w:rPr>
                <w:rFonts w:ascii="??"/>
                <w:color w:val="000000"/>
                <w:sz w:val="28"/>
                <w:szCs w:val="28"/>
              </w:rPr>
            </w:pPr>
          </w:p>
        </w:tc>
        <w:tc>
          <w:tcPr>
            <w:tcW w:w="895" w:type="dxa"/>
            <w:tcBorders>
              <w:top w:val="nil"/>
              <w:left w:val="nil"/>
              <w:bottom w:val="nil"/>
              <w:right w:val="nil"/>
            </w:tcBorders>
            <w:vAlign w:val="center"/>
          </w:tcPr>
          <w:p>
            <w:pPr>
              <w:jc w:val="center"/>
              <w:rPr>
                <w:rFonts w:ascii="??"/>
                <w:color w:val="000000"/>
                <w:sz w:val="28"/>
                <w:szCs w:val="28"/>
              </w:rPr>
            </w:pPr>
          </w:p>
        </w:tc>
        <w:tc>
          <w:tcPr>
            <w:tcW w:w="725" w:type="dxa"/>
            <w:tcBorders>
              <w:top w:val="nil"/>
              <w:left w:val="nil"/>
              <w:bottom w:val="nil"/>
              <w:right w:val="nil"/>
            </w:tcBorders>
            <w:vAlign w:val="center"/>
          </w:tcPr>
          <w:p>
            <w:pPr>
              <w:jc w:val="center"/>
              <w:rPr>
                <w:rFonts w:ascii="??"/>
                <w:color w:val="000000"/>
                <w:sz w:val="28"/>
                <w:szCs w:val="28"/>
              </w:rPr>
            </w:pPr>
          </w:p>
        </w:tc>
        <w:tc>
          <w:tcPr>
            <w:tcW w:w="973" w:type="dxa"/>
            <w:gridSpan w:val="2"/>
            <w:tcBorders>
              <w:top w:val="nil"/>
              <w:left w:val="nil"/>
              <w:bottom w:val="nil"/>
              <w:right w:val="nil"/>
            </w:tcBorders>
            <w:vAlign w:val="center"/>
          </w:tcPr>
          <w:p>
            <w:pPr>
              <w:jc w:val="center"/>
              <w:rPr>
                <w:rFonts w:ascii="??"/>
                <w:color w:val="000000"/>
                <w:sz w:val="28"/>
                <w:szCs w:val="28"/>
              </w:rPr>
            </w:pPr>
          </w:p>
        </w:tc>
        <w:tc>
          <w:tcPr>
            <w:tcW w:w="671" w:type="dxa"/>
            <w:tcBorders>
              <w:top w:val="nil"/>
              <w:left w:val="nil"/>
              <w:bottom w:val="nil"/>
              <w:right w:val="nil"/>
            </w:tcBorders>
            <w:vAlign w:val="center"/>
          </w:tcPr>
          <w:p>
            <w:pPr>
              <w:jc w:val="center"/>
              <w:rPr>
                <w:rFonts w:ascii="??"/>
                <w:color w:val="000000"/>
                <w:sz w:val="28"/>
                <w:szCs w:val="28"/>
              </w:rPr>
            </w:pPr>
          </w:p>
        </w:tc>
        <w:tc>
          <w:tcPr>
            <w:tcW w:w="750" w:type="dxa"/>
            <w:tcBorders>
              <w:top w:val="nil"/>
              <w:left w:val="nil"/>
              <w:bottom w:val="nil"/>
              <w:right w:val="nil"/>
            </w:tcBorders>
            <w:vAlign w:val="center"/>
          </w:tcPr>
          <w:p>
            <w:pPr>
              <w:jc w:val="center"/>
              <w:rPr>
                <w:rFonts w:ascii="??"/>
                <w:color w:val="000000"/>
                <w:sz w:val="28"/>
                <w:szCs w:val="28"/>
              </w:rPr>
            </w:pPr>
          </w:p>
        </w:tc>
        <w:tc>
          <w:tcPr>
            <w:tcW w:w="5595" w:type="dxa"/>
            <w:gridSpan w:val="6"/>
            <w:tcBorders>
              <w:top w:val="nil"/>
              <w:left w:val="nil"/>
              <w:bottom w:val="nil"/>
              <w:right w:val="nil"/>
            </w:tcBorders>
            <w:vAlign w:val="center"/>
          </w:tcPr>
          <w:p>
            <w:pPr>
              <w:widowControl/>
              <w:jc w:val="center"/>
              <w:textAlignment w:val="center"/>
              <w:rPr>
                <w:rFonts w:ascii="??"/>
                <w:color w:val="000000"/>
                <w:sz w:val="28"/>
                <w:szCs w:val="28"/>
              </w:rPr>
            </w:pPr>
            <w:r>
              <w:rPr>
                <w:rFonts w:hint="eastAsia" w:ascii="宋体" w:hAnsi="宋体" w:cs="宋体"/>
                <w:color w:val="000000"/>
                <w:kern w:val="0"/>
                <w:sz w:val="28"/>
                <w:szCs w:val="28"/>
              </w:rPr>
              <w:t>填报时间：</w:t>
            </w:r>
            <w:r>
              <w:rPr>
                <w:rFonts w:ascii="??" w:hAnsi="??"/>
                <w:color w:val="000000"/>
                <w:kern w:val="0"/>
                <w:sz w:val="28"/>
                <w:szCs w:val="28"/>
              </w:rPr>
              <w:t xml:space="preserve">     </w:t>
            </w:r>
            <w:r>
              <w:rPr>
                <w:rFonts w:hint="eastAsia" w:ascii="宋体" w:hAnsi="宋体" w:cs="宋体"/>
                <w:color w:val="000000"/>
                <w:kern w:val="0"/>
                <w:sz w:val="28"/>
                <w:szCs w:val="28"/>
              </w:rPr>
              <w:t>年</w:t>
            </w:r>
            <w:r>
              <w:rPr>
                <w:rFonts w:ascii="??" w:hAnsi="??"/>
                <w:color w:val="000000"/>
                <w:kern w:val="0"/>
                <w:sz w:val="28"/>
                <w:szCs w:val="28"/>
              </w:rPr>
              <w:t xml:space="preserve">     </w:t>
            </w:r>
            <w:r>
              <w:rPr>
                <w:rFonts w:hint="eastAsia" w:ascii="宋体" w:hAnsi="宋体" w:cs="宋体"/>
                <w:color w:val="000000"/>
                <w:kern w:val="0"/>
                <w:sz w:val="28"/>
                <w:szCs w:val="28"/>
              </w:rPr>
              <w:t>月</w:t>
            </w:r>
            <w:r>
              <w:rPr>
                <w:rFonts w:ascii="??" w:hAnsi="??"/>
                <w:color w:val="000000"/>
                <w:kern w:val="0"/>
                <w:sz w:val="28"/>
                <w:szCs w:val="28"/>
              </w:rPr>
              <w:t xml:space="preserve">     </w:t>
            </w:r>
            <w:r>
              <w:rPr>
                <w:rFonts w:hint="eastAsia" w:ascii="宋体" w:hAnsi="宋体" w:cs="宋体"/>
                <w:color w:val="000000"/>
                <w:kern w:val="0"/>
                <w:sz w:val="28"/>
                <w:szCs w:val="28"/>
              </w:rPr>
              <w:t>日</w:t>
            </w:r>
          </w:p>
        </w:tc>
      </w:tr>
      <w:tr>
        <w:tblPrEx>
          <w:tblCellMar>
            <w:top w:w="0" w:type="dxa"/>
            <w:left w:w="108" w:type="dxa"/>
            <w:bottom w:w="0" w:type="dxa"/>
            <w:right w:w="108" w:type="dxa"/>
          </w:tblCellMar>
        </w:tblPrEx>
        <w:trPr>
          <w:trHeight w:val="27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olor w:val="000000"/>
                <w:szCs w:val="21"/>
              </w:rPr>
            </w:pPr>
            <w:r>
              <w:rPr>
                <w:rFonts w:hint="eastAsia" w:ascii="宋体" w:hAnsi="宋体" w:cs="宋体"/>
                <w:color w:val="000000"/>
                <w:kern w:val="0"/>
                <w:szCs w:val="21"/>
              </w:rPr>
              <w:t>领域</w:t>
            </w:r>
          </w:p>
        </w:tc>
        <w:tc>
          <w:tcPr>
            <w:tcW w:w="36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olor w:val="000000"/>
                <w:sz w:val="24"/>
              </w:rPr>
            </w:pPr>
            <w:r>
              <w:rPr>
                <w:rFonts w:hint="eastAsia" w:ascii="宋体" w:hAnsi="宋体" w:cs="宋体"/>
                <w:color w:val="000000"/>
                <w:kern w:val="0"/>
                <w:sz w:val="24"/>
              </w:rPr>
              <w:t>企业自查自改情况</w:t>
            </w:r>
          </w:p>
        </w:tc>
        <w:tc>
          <w:tcPr>
            <w:tcW w:w="617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olor w:val="000000"/>
                <w:sz w:val="24"/>
              </w:rPr>
            </w:pPr>
            <w:r>
              <w:rPr>
                <w:rFonts w:hint="eastAsia" w:ascii="宋体" w:hAnsi="宋体" w:cs="宋体"/>
                <w:color w:val="000000"/>
                <w:kern w:val="0"/>
                <w:sz w:val="24"/>
              </w:rPr>
              <w:t>镇、部门检查企业情况</w:t>
            </w:r>
          </w:p>
        </w:tc>
        <w:tc>
          <w:tcPr>
            <w:tcW w:w="343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olor w:val="000000"/>
                <w:sz w:val="24"/>
              </w:rPr>
            </w:pPr>
            <w:r>
              <w:rPr>
                <w:rFonts w:hint="eastAsia" w:ascii="宋体" w:hAnsi="宋体" w:cs="宋体"/>
                <w:color w:val="000000"/>
                <w:kern w:val="0"/>
                <w:sz w:val="24"/>
              </w:rPr>
              <w:t>行政执法情况</w:t>
            </w:r>
          </w:p>
        </w:tc>
      </w:tr>
      <w:tr>
        <w:tblPrEx>
          <w:tblCellMar>
            <w:top w:w="0" w:type="dxa"/>
            <w:left w:w="108" w:type="dxa"/>
            <w:bottom w:w="0" w:type="dxa"/>
            <w:right w:w="108" w:type="dxa"/>
          </w:tblCellMar>
        </w:tblPrEx>
        <w:trPr>
          <w:trHeight w:val="818"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企业自查</w:t>
            </w:r>
            <w:r>
              <w:rPr>
                <w:rFonts w:ascii="??" w:hAnsi="??"/>
                <w:sz w:val="18"/>
                <w:szCs w:val="18"/>
              </w:rPr>
              <w:t>/</w:t>
            </w:r>
            <w:r>
              <w:rPr>
                <w:rFonts w:hint="eastAsia" w:ascii="宋体" w:hAnsi="宋体" w:cs="宋体"/>
                <w:sz w:val="18"/>
                <w:szCs w:val="18"/>
              </w:rPr>
              <w:t>家</w:t>
            </w: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隐患</w:t>
            </w:r>
            <w:r>
              <w:rPr>
                <w:rFonts w:ascii="??" w:hAnsi="??"/>
                <w:sz w:val="18"/>
                <w:szCs w:val="18"/>
              </w:rPr>
              <w:t>/</w:t>
            </w:r>
            <w:r>
              <w:rPr>
                <w:rFonts w:hint="eastAsia" w:ascii="宋体" w:hAnsi="宋体" w:cs="宋体"/>
                <w:sz w:val="18"/>
                <w:szCs w:val="18"/>
              </w:rPr>
              <w:t>个</w:t>
            </w: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其中重大隐患</w:t>
            </w:r>
            <w:r>
              <w:rPr>
                <w:rFonts w:ascii="??" w:hAnsi="??"/>
                <w:sz w:val="18"/>
                <w:szCs w:val="18"/>
              </w:rPr>
              <w:t>/</w:t>
            </w:r>
            <w:r>
              <w:rPr>
                <w:rFonts w:hint="eastAsia" w:ascii="宋体" w:hAnsi="宋体" w:cs="宋体"/>
                <w:sz w:val="18"/>
                <w:szCs w:val="18"/>
              </w:rPr>
              <w:t>个</w:t>
            </w:r>
          </w:p>
        </w:tc>
        <w:tc>
          <w:tcPr>
            <w:tcW w:w="761" w:type="dxa"/>
            <w:tcBorders>
              <w:top w:val="single" w:color="000000" w:sz="4" w:space="0"/>
              <w:left w:val="single" w:color="000000" w:sz="4" w:space="0"/>
              <w:bottom w:val="single" w:color="000000" w:sz="4" w:space="0"/>
              <w:right w:val="single" w:color="000000" w:sz="4" w:space="0"/>
            </w:tcBorders>
            <w:vAlign w:val="center"/>
          </w:tcPr>
          <w:p>
            <w:pPr>
              <w:rPr>
                <w:rFonts w:ascii="??" w:hAnsi="??"/>
                <w:sz w:val="18"/>
                <w:szCs w:val="18"/>
              </w:rPr>
            </w:pPr>
            <w:r>
              <w:rPr>
                <w:rFonts w:hint="eastAsia" w:ascii="宋体" w:hAnsi="宋体" w:cs="宋体"/>
                <w:sz w:val="18"/>
                <w:szCs w:val="18"/>
              </w:rPr>
              <w:t>整改率</w:t>
            </w:r>
            <w:r>
              <w:rPr>
                <w:rFonts w:ascii="??" w:hAnsi="??"/>
                <w:sz w:val="18"/>
                <w:szCs w:val="18"/>
              </w:rPr>
              <w:t>/%</w:t>
            </w:r>
          </w:p>
        </w:tc>
        <w:tc>
          <w:tcPr>
            <w:tcW w:w="895"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辖区应查企业</w:t>
            </w:r>
            <w:r>
              <w:rPr>
                <w:rFonts w:ascii="??" w:hAnsi="??"/>
                <w:sz w:val="18"/>
                <w:szCs w:val="18"/>
              </w:rPr>
              <w:t>/</w:t>
            </w:r>
            <w:r>
              <w:rPr>
                <w:rFonts w:hint="eastAsia" w:ascii="宋体" w:hAnsi="宋体" w:cs="宋体"/>
                <w:sz w:val="18"/>
                <w:szCs w:val="18"/>
              </w:rPr>
              <w:t>家</w:t>
            </w:r>
          </w:p>
        </w:tc>
        <w:tc>
          <w:tcPr>
            <w:tcW w:w="725"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已查企业</w:t>
            </w:r>
            <w:r>
              <w:rPr>
                <w:rFonts w:ascii="??" w:hAnsi="??"/>
                <w:sz w:val="18"/>
                <w:szCs w:val="18"/>
              </w:rPr>
              <w:t>/</w:t>
            </w:r>
            <w:r>
              <w:rPr>
                <w:rFonts w:hint="eastAsia" w:ascii="宋体" w:hAnsi="宋体" w:cs="宋体"/>
                <w:sz w:val="18"/>
                <w:szCs w:val="18"/>
              </w:rPr>
              <w:t>家</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 w:hAnsi="??"/>
                <w:sz w:val="18"/>
                <w:szCs w:val="18"/>
              </w:rPr>
            </w:pPr>
            <w:r>
              <w:rPr>
                <w:rFonts w:hint="eastAsia" w:ascii="宋体" w:hAnsi="宋体" w:cs="宋体"/>
                <w:sz w:val="18"/>
                <w:szCs w:val="18"/>
              </w:rPr>
              <w:t>进度</w:t>
            </w:r>
            <w:r>
              <w:rPr>
                <w:rFonts w:ascii="??" w:hAnsi="??"/>
                <w:sz w:val="18"/>
                <w:szCs w:val="18"/>
              </w:rPr>
              <w:t>/%</w:t>
            </w: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隐患</w:t>
            </w:r>
            <w:r>
              <w:rPr>
                <w:rFonts w:ascii="??" w:hAnsi="??"/>
                <w:sz w:val="18"/>
                <w:szCs w:val="18"/>
              </w:rPr>
              <w:t>/</w:t>
            </w:r>
            <w:r>
              <w:rPr>
                <w:rFonts w:hint="eastAsia" w:ascii="宋体" w:hAnsi="宋体" w:cs="宋体"/>
                <w:sz w:val="18"/>
                <w:szCs w:val="18"/>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rPr>
                <w:rFonts w:ascii="??" w:hAnsi="??"/>
                <w:sz w:val="18"/>
                <w:szCs w:val="18"/>
              </w:rPr>
            </w:pPr>
            <w:r>
              <w:rPr>
                <w:rFonts w:hint="eastAsia" w:ascii="宋体" w:hAnsi="宋体" w:cs="宋体"/>
                <w:sz w:val="18"/>
                <w:szCs w:val="18"/>
              </w:rPr>
              <w:t>整改率</w:t>
            </w:r>
            <w:r>
              <w:rPr>
                <w:rFonts w:ascii="??" w:hAnsi="??"/>
                <w:sz w:val="18"/>
                <w:szCs w:val="18"/>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其中重大隐患</w:t>
            </w:r>
            <w:r>
              <w:rPr>
                <w:rFonts w:ascii="??" w:hAnsi="??"/>
                <w:sz w:val="18"/>
                <w:szCs w:val="18"/>
              </w:rPr>
              <w:t>/</w:t>
            </w:r>
            <w:r>
              <w:rPr>
                <w:rFonts w:hint="eastAsia" w:ascii="宋体" w:hAnsi="宋体" w:cs="宋体"/>
                <w:sz w:val="18"/>
                <w:szCs w:val="18"/>
              </w:rPr>
              <w:t>个</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 w:hAnsi="??"/>
                <w:sz w:val="18"/>
                <w:szCs w:val="18"/>
              </w:rPr>
            </w:pPr>
            <w:r>
              <w:rPr>
                <w:rFonts w:hint="eastAsia" w:ascii="宋体" w:hAnsi="宋体" w:cs="宋体"/>
                <w:sz w:val="18"/>
                <w:szCs w:val="18"/>
              </w:rPr>
              <w:t>重大隐患整改率</w:t>
            </w:r>
            <w:r>
              <w:rPr>
                <w:rFonts w:ascii="??" w:hAnsi="??"/>
                <w:sz w:val="18"/>
                <w:szCs w:val="18"/>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信用惩戒</w:t>
            </w:r>
            <w:r>
              <w:rPr>
                <w:rFonts w:ascii="??" w:hAnsi="??"/>
                <w:sz w:val="18"/>
                <w:szCs w:val="18"/>
              </w:rPr>
              <w:t>/</w:t>
            </w:r>
            <w:r>
              <w:rPr>
                <w:rFonts w:hint="eastAsia" w:ascii="宋体" w:hAnsi="宋体" w:cs="宋体"/>
                <w:sz w:val="18"/>
                <w:szCs w:val="18"/>
              </w:rPr>
              <w:t>家</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停产整顿</w:t>
            </w:r>
            <w:r>
              <w:rPr>
                <w:rFonts w:ascii="??" w:hAnsi="??"/>
                <w:sz w:val="18"/>
                <w:szCs w:val="18"/>
              </w:rPr>
              <w:t>/</w:t>
            </w:r>
            <w:r>
              <w:rPr>
                <w:rFonts w:hint="eastAsia" w:ascii="宋体" w:hAnsi="宋体" w:cs="宋体"/>
                <w:sz w:val="18"/>
                <w:szCs w:val="18"/>
              </w:rPr>
              <w:t>家</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关闭取缔</w:t>
            </w:r>
            <w:r>
              <w:rPr>
                <w:rFonts w:ascii="??" w:hAnsi="??"/>
                <w:sz w:val="18"/>
                <w:szCs w:val="18"/>
              </w:rPr>
              <w:t>/</w:t>
            </w:r>
            <w:r>
              <w:rPr>
                <w:rFonts w:hint="eastAsia" w:ascii="宋体" w:hAnsi="宋体" w:cs="宋体"/>
                <w:sz w:val="18"/>
                <w:szCs w:val="18"/>
              </w:rPr>
              <w:t>家</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ascii="??"/>
                <w:sz w:val="18"/>
                <w:szCs w:val="18"/>
              </w:rPr>
            </w:pPr>
            <w:r>
              <w:rPr>
                <w:rFonts w:hint="eastAsia" w:ascii="宋体" w:hAnsi="宋体" w:cs="宋体"/>
                <w:sz w:val="18"/>
                <w:szCs w:val="18"/>
              </w:rPr>
              <w:t>罚款</w:t>
            </w:r>
            <w:r>
              <w:rPr>
                <w:rFonts w:ascii="??" w:hAnsi="??"/>
                <w:sz w:val="18"/>
                <w:szCs w:val="18"/>
              </w:rPr>
              <w:t>/</w:t>
            </w:r>
            <w:r>
              <w:rPr>
                <w:rFonts w:hint="eastAsia" w:ascii="宋体" w:hAnsi="宋体" w:cs="宋体"/>
                <w:sz w:val="18"/>
                <w:szCs w:val="18"/>
              </w:rPr>
              <w:t>万元</w:t>
            </w: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危化品</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9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城镇燃气</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道路交通</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自建房</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建筑施工</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消防</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w w:val="80"/>
                <w:kern w:val="0"/>
                <w:szCs w:val="21"/>
              </w:rPr>
              <w:t>中小型工业企业</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特种设备</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文化和旅游</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电力</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农业机械</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r>
        <w:tblPrEx>
          <w:tblCellMar>
            <w:top w:w="0" w:type="dxa"/>
            <w:left w:w="108" w:type="dxa"/>
            <w:bottom w:w="0" w:type="dxa"/>
            <w:right w:w="108" w:type="dxa"/>
          </w:tblCellMar>
        </w:tblPrEx>
        <w:trPr>
          <w:trHeight w:val="270"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ascii="??"/>
                <w:color w:val="000000"/>
                <w:szCs w:val="21"/>
              </w:rPr>
            </w:pPr>
            <w:r>
              <w:rPr>
                <w:rFonts w:hint="eastAsia" w:ascii="宋体" w:hAnsi="宋体" w:cs="宋体"/>
                <w:color w:val="000000"/>
                <w:kern w:val="0"/>
                <w:szCs w:val="21"/>
              </w:rPr>
              <w:t>森林防灭火</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
                <w:color w:val="000000"/>
                <w:sz w:val="28"/>
                <w:szCs w:val="28"/>
              </w:rPr>
            </w:pPr>
          </w:p>
        </w:tc>
      </w:tr>
    </w:tbl>
    <w:p>
      <w:pPr>
        <w:ind w:firstLine="840" w:firstLineChars="300"/>
        <w:rPr>
          <w:rFonts w:ascii="??"/>
          <w:sz w:val="28"/>
          <w:szCs w:val="28"/>
        </w:rPr>
      </w:pPr>
      <w:r>
        <w:rPr>
          <w:rFonts w:hint="eastAsia" w:ascii="宋体" w:hAnsi="宋体" w:cs="宋体"/>
          <w:sz w:val="28"/>
          <w:szCs w:val="28"/>
        </w:rPr>
        <w:t>填报人：</w:t>
      </w:r>
      <w:r>
        <w:rPr>
          <w:rFonts w:ascii="??" w:hAnsi="??"/>
          <w:sz w:val="28"/>
          <w:szCs w:val="28"/>
        </w:rPr>
        <w:t xml:space="preserve">                   </w:t>
      </w:r>
      <w:r>
        <w:rPr>
          <w:rFonts w:hint="eastAsia" w:ascii="宋体" w:hAnsi="宋体" w:cs="宋体"/>
          <w:sz w:val="28"/>
          <w:szCs w:val="28"/>
        </w:rPr>
        <w:t>单位负责人：</w:t>
      </w:r>
      <w:r>
        <w:rPr>
          <w:rFonts w:ascii="??" w:hAnsi="??"/>
          <w:sz w:val="28"/>
          <w:szCs w:val="28"/>
        </w:rPr>
        <w:t xml:space="preserve">                            </w:t>
      </w:r>
      <w:r>
        <w:rPr>
          <w:rFonts w:hint="eastAsia" w:ascii="宋体" w:hAnsi="宋体" w:cs="宋体"/>
          <w:sz w:val="28"/>
          <w:szCs w:val="28"/>
        </w:rPr>
        <w:t>分管领导：</w:t>
      </w:r>
    </w:p>
    <w:p>
      <w:pPr>
        <w:pStyle w:val="10"/>
        <w:ind w:firstLine="560"/>
        <w:rPr>
          <w:rFonts w:ascii="??"/>
          <w:sz w:val="28"/>
          <w:szCs w:val="28"/>
        </w:rPr>
      </w:pPr>
    </w:p>
    <w:p>
      <w:pPr>
        <w:rPr>
          <w:rFonts w:ascii="??"/>
          <w:sz w:val="28"/>
          <w:szCs w:val="28"/>
        </w:rPr>
        <w:sectPr>
          <w:pgSz w:w="16838" w:h="11906" w:orient="landscape"/>
          <w:pgMar w:top="1418" w:right="1361" w:bottom="1134" w:left="1418" w:header="851" w:footer="992" w:gutter="0"/>
          <w:cols w:space="425" w:num="1"/>
          <w:docGrid w:type="lines" w:linePitch="312" w:charSpace="0"/>
        </w:sectPr>
      </w:pPr>
    </w:p>
    <w:p>
      <w:pPr>
        <w:autoSpaceDE w:val="0"/>
        <w:autoSpaceDN w:val="0"/>
        <w:adjustRightInd w:val="0"/>
        <w:spacing w:line="560" w:lineRule="exact"/>
        <w:contextualSpacing/>
        <w:rPr>
          <w:rFonts w:ascii="??"/>
          <w:sz w:val="28"/>
          <w:szCs w:val="28"/>
        </w:rPr>
      </w:pPr>
      <w:r>
        <w:rPr>
          <w:rFonts w:hint="eastAsia" w:ascii="宋体" w:hAnsi="宋体" w:cs="宋体"/>
          <w:sz w:val="28"/>
          <w:szCs w:val="28"/>
        </w:rPr>
        <w:t>附件</w:t>
      </w:r>
      <w:r>
        <w:rPr>
          <w:rFonts w:ascii="??" w:hAnsi="??"/>
          <w:sz w:val="28"/>
          <w:szCs w:val="28"/>
        </w:rPr>
        <w:t>2</w:t>
      </w:r>
      <w:r>
        <w:rPr>
          <w:rFonts w:hint="eastAsia" w:ascii="宋体" w:hAnsi="宋体" w:cs="宋体"/>
          <w:sz w:val="28"/>
          <w:szCs w:val="28"/>
        </w:rPr>
        <w:t>：</w:t>
      </w:r>
    </w:p>
    <w:tbl>
      <w:tblPr>
        <w:tblStyle w:val="11"/>
        <w:tblW w:w="13900" w:type="dxa"/>
        <w:tblInd w:w="93" w:type="dxa"/>
        <w:tblLayout w:type="autofit"/>
        <w:tblCellMar>
          <w:top w:w="0" w:type="dxa"/>
          <w:left w:w="108" w:type="dxa"/>
          <w:bottom w:w="0" w:type="dxa"/>
          <w:right w:w="108" w:type="dxa"/>
        </w:tblCellMar>
      </w:tblPr>
      <w:tblGrid>
        <w:gridCol w:w="735"/>
        <w:gridCol w:w="1369"/>
        <w:gridCol w:w="1010"/>
        <w:gridCol w:w="921"/>
        <w:gridCol w:w="1010"/>
        <w:gridCol w:w="3192"/>
        <w:gridCol w:w="1743"/>
        <w:gridCol w:w="776"/>
        <w:gridCol w:w="1213"/>
        <w:gridCol w:w="717"/>
        <w:gridCol w:w="1214"/>
      </w:tblGrid>
      <w:tr>
        <w:tblPrEx>
          <w:tblCellMar>
            <w:top w:w="0" w:type="dxa"/>
            <w:left w:w="108" w:type="dxa"/>
            <w:bottom w:w="0" w:type="dxa"/>
            <w:right w:w="108" w:type="dxa"/>
          </w:tblCellMar>
        </w:tblPrEx>
        <w:trPr>
          <w:trHeight w:val="626" w:hRule="atLeast"/>
        </w:trPr>
        <w:tc>
          <w:tcPr>
            <w:tcW w:w="13900" w:type="dxa"/>
            <w:gridSpan w:val="11"/>
            <w:tcBorders>
              <w:top w:val="nil"/>
              <w:left w:val="nil"/>
              <w:bottom w:val="nil"/>
              <w:right w:val="nil"/>
            </w:tcBorders>
            <w:noWrap/>
            <w:vAlign w:val="center"/>
          </w:tcPr>
          <w:p>
            <w:pPr>
              <w:widowControl/>
              <w:jc w:val="center"/>
              <w:textAlignment w:val="center"/>
              <w:rPr>
                <w:rFonts w:ascii="黑体" w:hAnsi="黑体" w:eastAsia="黑体"/>
                <w:color w:val="000000"/>
                <w:kern w:val="0"/>
                <w:sz w:val="44"/>
                <w:szCs w:val="44"/>
              </w:rPr>
            </w:pPr>
            <w:r>
              <w:rPr>
                <w:rFonts w:hint="eastAsia" w:ascii="黑体" w:hAnsi="黑体" w:eastAsia="黑体"/>
                <w:color w:val="000000"/>
                <w:kern w:val="0"/>
                <w:sz w:val="44"/>
                <w:szCs w:val="44"/>
              </w:rPr>
              <w:t>安全生产问题清单</w:t>
            </w:r>
          </w:p>
        </w:tc>
      </w:tr>
      <w:tr>
        <w:tblPrEx>
          <w:tblCellMar>
            <w:top w:w="0" w:type="dxa"/>
            <w:left w:w="108" w:type="dxa"/>
            <w:bottom w:w="0" w:type="dxa"/>
            <w:right w:w="108" w:type="dxa"/>
          </w:tblCellMar>
        </w:tblPrEx>
        <w:trPr>
          <w:trHeight w:val="313" w:hRule="atLeast"/>
        </w:trPr>
        <w:tc>
          <w:tcPr>
            <w:tcW w:w="3114" w:type="dxa"/>
            <w:gridSpan w:val="3"/>
            <w:tcBorders>
              <w:top w:val="nil"/>
              <w:left w:val="nil"/>
              <w:bottom w:val="nil"/>
              <w:right w:val="nil"/>
            </w:tcBorders>
            <w:vAlign w:val="center"/>
          </w:tcPr>
          <w:p>
            <w:pPr>
              <w:jc w:val="center"/>
              <w:rPr>
                <w:rFonts w:ascii="??" w:cs="??"/>
                <w:color w:val="000000"/>
                <w:sz w:val="28"/>
                <w:szCs w:val="28"/>
              </w:rPr>
            </w:pPr>
            <w:r>
              <w:rPr>
                <w:rFonts w:hint="eastAsia" w:ascii="宋体" w:hAnsi="宋体" w:cs="宋体"/>
                <w:color w:val="000000"/>
                <w:kern w:val="0"/>
                <w:sz w:val="28"/>
                <w:szCs w:val="28"/>
              </w:rPr>
              <w:t>填报部门：（盖章）</w:t>
            </w:r>
          </w:p>
        </w:tc>
        <w:tc>
          <w:tcPr>
            <w:tcW w:w="921" w:type="dxa"/>
            <w:tcBorders>
              <w:top w:val="nil"/>
              <w:left w:val="nil"/>
              <w:bottom w:val="nil"/>
              <w:right w:val="nil"/>
            </w:tcBorders>
            <w:vAlign w:val="center"/>
          </w:tcPr>
          <w:p>
            <w:pPr>
              <w:jc w:val="left"/>
              <w:rPr>
                <w:rFonts w:ascii="??" w:cs="??"/>
                <w:color w:val="000000"/>
                <w:sz w:val="28"/>
                <w:szCs w:val="28"/>
              </w:rPr>
            </w:pPr>
          </w:p>
        </w:tc>
        <w:tc>
          <w:tcPr>
            <w:tcW w:w="1010" w:type="dxa"/>
            <w:tcBorders>
              <w:top w:val="nil"/>
              <w:left w:val="nil"/>
              <w:bottom w:val="nil"/>
              <w:right w:val="nil"/>
            </w:tcBorders>
            <w:vAlign w:val="center"/>
          </w:tcPr>
          <w:p>
            <w:pPr>
              <w:jc w:val="left"/>
              <w:rPr>
                <w:rFonts w:ascii="??" w:cs="??"/>
                <w:color w:val="000000"/>
                <w:sz w:val="28"/>
                <w:szCs w:val="28"/>
              </w:rPr>
            </w:pPr>
          </w:p>
        </w:tc>
        <w:tc>
          <w:tcPr>
            <w:tcW w:w="3192" w:type="dxa"/>
            <w:tcBorders>
              <w:top w:val="nil"/>
              <w:left w:val="nil"/>
              <w:bottom w:val="nil"/>
              <w:right w:val="nil"/>
            </w:tcBorders>
            <w:vAlign w:val="center"/>
          </w:tcPr>
          <w:p>
            <w:pPr>
              <w:jc w:val="center"/>
              <w:rPr>
                <w:rFonts w:ascii="??" w:cs="??"/>
                <w:color w:val="000000"/>
                <w:sz w:val="28"/>
                <w:szCs w:val="28"/>
              </w:rPr>
            </w:pPr>
          </w:p>
        </w:tc>
        <w:tc>
          <w:tcPr>
            <w:tcW w:w="1743" w:type="dxa"/>
            <w:tcBorders>
              <w:top w:val="nil"/>
              <w:left w:val="nil"/>
              <w:bottom w:val="nil"/>
              <w:right w:val="nil"/>
            </w:tcBorders>
            <w:vAlign w:val="center"/>
          </w:tcPr>
          <w:p>
            <w:pPr>
              <w:jc w:val="center"/>
              <w:rPr>
                <w:rFonts w:ascii="??" w:cs="??"/>
                <w:color w:val="000000"/>
                <w:sz w:val="28"/>
                <w:szCs w:val="28"/>
              </w:rPr>
            </w:pPr>
          </w:p>
        </w:tc>
        <w:tc>
          <w:tcPr>
            <w:tcW w:w="3920" w:type="dxa"/>
            <w:gridSpan w:val="4"/>
            <w:tcBorders>
              <w:top w:val="nil"/>
              <w:left w:val="nil"/>
              <w:bottom w:val="nil"/>
              <w:right w:val="nil"/>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填报时间：</w:t>
            </w:r>
            <w:r>
              <w:rPr>
                <w:rFonts w:ascii="??" w:hAnsi="??" w:cs="??"/>
                <w:color w:val="000000"/>
                <w:kern w:val="0"/>
                <w:sz w:val="28"/>
                <w:szCs w:val="28"/>
              </w:rPr>
              <w:t xml:space="preserve">   </w:t>
            </w:r>
            <w:r>
              <w:rPr>
                <w:rFonts w:hint="eastAsia" w:ascii="宋体" w:hAnsi="宋体" w:cs="宋体"/>
                <w:color w:val="000000"/>
                <w:kern w:val="0"/>
                <w:sz w:val="28"/>
                <w:szCs w:val="28"/>
              </w:rPr>
              <w:t>年</w:t>
            </w:r>
            <w:r>
              <w:rPr>
                <w:rFonts w:ascii="??" w:hAnsi="??" w:cs="??"/>
                <w:color w:val="000000"/>
                <w:kern w:val="0"/>
                <w:sz w:val="28"/>
                <w:szCs w:val="28"/>
              </w:rPr>
              <w:t xml:space="preserve">  </w:t>
            </w:r>
            <w:r>
              <w:rPr>
                <w:rFonts w:hint="eastAsia" w:ascii="宋体" w:hAnsi="宋体" w:cs="宋体"/>
                <w:color w:val="000000"/>
                <w:kern w:val="0"/>
                <w:sz w:val="28"/>
                <w:szCs w:val="28"/>
              </w:rPr>
              <w:t>月</w:t>
            </w:r>
            <w:r>
              <w:rPr>
                <w:rFonts w:ascii="??" w:hAnsi="??" w:cs="??"/>
                <w:color w:val="000000"/>
                <w:kern w:val="0"/>
                <w:sz w:val="28"/>
                <w:szCs w:val="28"/>
              </w:rPr>
              <w:t xml:space="preserve">    </w:t>
            </w:r>
            <w:r>
              <w:rPr>
                <w:rFonts w:hint="eastAsia" w:ascii="宋体" w:hAnsi="宋体" w:cs="宋体"/>
                <w:color w:val="000000"/>
                <w:kern w:val="0"/>
                <w:sz w:val="28"/>
                <w:szCs w:val="28"/>
              </w:rPr>
              <w:t>日</w:t>
            </w:r>
          </w:p>
        </w:tc>
      </w:tr>
      <w:tr>
        <w:tblPrEx>
          <w:tblCellMar>
            <w:top w:w="0" w:type="dxa"/>
            <w:left w:w="108" w:type="dxa"/>
            <w:bottom w:w="0" w:type="dxa"/>
            <w:right w:w="108" w:type="dxa"/>
          </w:tblCellMar>
        </w:tblPrEx>
        <w:trPr>
          <w:trHeight w:val="529"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序号</w:t>
            </w:r>
          </w:p>
        </w:tc>
        <w:tc>
          <w:tcPr>
            <w:tcW w:w="4310" w:type="dxa"/>
            <w:gridSpan w:val="4"/>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主体情况</w:t>
            </w:r>
          </w:p>
        </w:tc>
        <w:tc>
          <w:tcPr>
            <w:tcW w:w="4935"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问题隐患情况</w:t>
            </w:r>
          </w:p>
        </w:tc>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pPr>
            <w:r>
              <w:rPr>
                <w:rFonts w:hint="eastAsia" w:ascii="宋体" w:hAnsi="宋体" w:cs="宋体"/>
              </w:rPr>
              <w:t>整改时限</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是否挂</w:t>
            </w:r>
            <w:r>
              <w:t xml:space="preserve">  </w:t>
            </w:r>
            <w:r>
              <w:rPr>
                <w:rFonts w:hint="eastAsia" w:ascii="宋体" w:hAnsi="宋体" w:cs="宋体"/>
              </w:rPr>
              <w:t>牌督办</w:t>
            </w:r>
          </w:p>
        </w:tc>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pPr>
            <w:r>
              <w:rPr>
                <w:rFonts w:hint="eastAsia" w:ascii="宋体" w:hAnsi="宋体" w:cs="宋体"/>
              </w:rPr>
              <w:t>监管部门</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pPr>
            <w:r>
              <w:rPr>
                <w:rFonts w:hint="eastAsia" w:ascii="宋体" w:hAnsi="宋体" w:cs="宋体"/>
              </w:rPr>
              <w:t>备注</w:t>
            </w:r>
          </w:p>
        </w:tc>
      </w:tr>
      <w:tr>
        <w:tblPrEx>
          <w:tblCellMar>
            <w:top w:w="0" w:type="dxa"/>
            <w:left w:w="108" w:type="dxa"/>
            <w:bottom w:w="0" w:type="dxa"/>
            <w:right w:w="108" w:type="dxa"/>
          </w:tblCellMar>
        </w:tblPrEx>
        <w:trPr>
          <w:trHeight w:val="63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名称</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地址</w:t>
            </w: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主要负责人</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所属行业领域</w:t>
            </w:r>
          </w:p>
        </w:tc>
        <w:tc>
          <w:tcPr>
            <w:tcW w:w="31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内容</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风险等级</w:t>
            </w:r>
          </w:p>
          <w:p>
            <w:pPr>
              <w:jc w:val="center"/>
            </w:pPr>
            <w:r>
              <w:rPr>
                <w:rFonts w:hint="eastAsia" w:ascii="宋体" w:hAnsi="宋体" w:cs="宋体"/>
              </w:rPr>
              <w:t>（重大</w:t>
            </w:r>
            <w:r>
              <w:t>/</w:t>
            </w:r>
            <w:r>
              <w:rPr>
                <w:rFonts w:hint="eastAsia" w:ascii="宋体" w:hAnsi="宋体" w:cs="宋体"/>
              </w:rPr>
              <w:t>一般）</w:t>
            </w: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pPr>
          </w:p>
        </w:tc>
        <w:tc>
          <w:tcPr>
            <w:tcW w:w="1213"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pPr>
          </w:p>
        </w:tc>
      </w:tr>
      <w:tr>
        <w:tblPrEx>
          <w:tblCellMar>
            <w:top w:w="0" w:type="dxa"/>
            <w:left w:w="108" w:type="dxa"/>
            <w:bottom w:w="0" w:type="dxa"/>
            <w:right w:w="108" w:type="dxa"/>
          </w:tblCellMar>
        </w:tblPrEx>
        <w:trPr>
          <w:trHeight w:val="541"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1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 w:cs="??"/>
                <w:color w:val="000000"/>
                <w:sz w:val="28"/>
                <w:szCs w:val="28"/>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507"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192"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192"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 w:cs="??"/>
                <w:color w:val="000000"/>
                <w:kern w:val="0"/>
                <w:sz w:val="28"/>
                <w:szCs w:val="28"/>
              </w:rPr>
            </w:pPr>
            <w:r>
              <w:rPr>
                <w:rFonts w:ascii="??" w:hAnsi="??" w:cs="??"/>
                <w:color w:val="000000"/>
                <w:kern w:val="0"/>
                <w:sz w:val="28"/>
                <w:szCs w:val="28"/>
              </w:rPr>
              <w:t>4</w:t>
            </w:r>
          </w:p>
        </w:tc>
        <w:tc>
          <w:tcPr>
            <w:tcW w:w="1369"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921"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010"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3192"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743"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776" w:type="dxa"/>
            <w:tcBorders>
              <w:top w:val="single" w:color="000000"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1213" w:type="dxa"/>
            <w:tcBorders>
              <w:top w:val="single" w:color="000000"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717" w:type="dxa"/>
            <w:tcBorders>
              <w:top w:val="single" w:color="000000"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1214" w:type="dxa"/>
            <w:tcBorders>
              <w:top w:val="single" w:color="000000"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240" w:hRule="atLeast"/>
        </w:trPr>
        <w:tc>
          <w:tcPr>
            <w:tcW w:w="735"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 w:cs="??"/>
                <w:color w:val="000000"/>
                <w:kern w:val="0"/>
                <w:sz w:val="28"/>
                <w:szCs w:val="28"/>
              </w:rPr>
            </w:pPr>
            <w:r>
              <w:rPr>
                <w:rFonts w:ascii="??" w:hAnsi="??" w:cs="??"/>
                <w:color w:val="000000"/>
                <w:kern w:val="0"/>
                <w:sz w:val="28"/>
                <w:szCs w:val="28"/>
              </w:rPr>
              <w:t>5</w:t>
            </w:r>
          </w:p>
        </w:tc>
        <w:tc>
          <w:tcPr>
            <w:tcW w:w="1369"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010"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921"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010"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3192"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743"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776"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1213"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717"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1214"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390" w:hRule="atLeast"/>
        </w:trPr>
        <w:tc>
          <w:tcPr>
            <w:tcW w:w="735"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 w:cs="??"/>
                <w:color w:val="000000"/>
                <w:kern w:val="0"/>
                <w:sz w:val="28"/>
                <w:szCs w:val="28"/>
              </w:rPr>
            </w:pPr>
            <w:r>
              <w:rPr>
                <w:rFonts w:ascii="??" w:hAnsi="??" w:cs="??"/>
                <w:color w:val="000000"/>
                <w:kern w:val="0"/>
                <w:sz w:val="28"/>
                <w:szCs w:val="28"/>
              </w:rPr>
              <w:t>6</w:t>
            </w:r>
          </w:p>
        </w:tc>
        <w:tc>
          <w:tcPr>
            <w:tcW w:w="1369"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010"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921"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010"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3192"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743"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776"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1213"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717"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c>
          <w:tcPr>
            <w:tcW w:w="1214"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375" w:hRule="atLeast"/>
        </w:trPr>
        <w:tc>
          <w:tcPr>
            <w:tcW w:w="735"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 w:cs="??"/>
                <w:color w:val="000000"/>
                <w:kern w:val="0"/>
                <w:sz w:val="28"/>
                <w:szCs w:val="28"/>
              </w:rPr>
            </w:pPr>
            <w:r>
              <w:rPr>
                <w:rFonts w:ascii="??" w:hAnsi="??" w:cs="??"/>
                <w:color w:val="000000"/>
                <w:kern w:val="0"/>
                <w:sz w:val="28"/>
                <w:szCs w:val="28"/>
              </w:rPr>
              <w:t>7</w:t>
            </w:r>
          </w:p>
        </w:tc>
        <w:tc>
          <w:tcPr>
            <w:tcW w:w="1369"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921"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010"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192"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743"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776" w:type="dxa"/>
            <w:tcBorders>
              <w:top w:val="single" w:color="auto"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3" w:type="dxa"/>
            <w:tcBorders>
              <w:top w:val="single" w:color="auto"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717" w:type="dxa"/>
            <w:tcBorders>
              <w:top w:val="single" w:color="auto"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c>
          <w:tcPr>
            <w:tcW w:w="1214" w:type="dxa"/>
            <w:tcBorders>
              <w:top w:val="single" w:color="auto"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r>
    </w:tbl>
    <w:p>
      <w:pPr>
        <w:ind w:firstLine="840" w:firstLineChars="300"/>
        <w:rPr>
          <w:rFonts w:ascii="??"/>
          <w:sz w:val="28"/>
          <w:szCs w:val="28"/>
        </w:rPr>
      </w:pPr>
      <w:r>
        <w:rPr>
          <w:rFonts w:hint="eastAsia" w:ascii="宋体" w:hAnsi="宋体" w:cs="宋体"/>
          <w:sz w:val="28"/>
          <w:szCs w:val="28"/>
        </w:rPr>
        <w:t>填报人：</w:t>
      </w:r>
      <w:r>
        <w:rPr>
          <w:rFonts w:ascii="??" w:hAnsi="??"/>
          <w:sz w:val="28"/>
          <w:szCs w:val="28"/>
        </w:rPr>
        <w:t xml:space="preserve">                   </w:t>
      </w:r>
      <w:r>
        <w:rPr>
          <w:rFonts w:hint="eastAsia" w:ascii="宋体" w:hAnsi="宋体" w:cs="宋体"/>
          <w:sz w:val="28"/>
          <w:szCs w:val="28"/>
        </w:rPr>
        <w:t>单位负责人：</w:t>
      </w:r>
      <w:r>
        <w:rPr>
          <w:rFonts w:ascii="??" w:hAnsi="??"/>
          <w:sz w:val="28"/>
          <w:szCs w:val="28"/>
        </w:rPr>
        <w:t xml:space="preserve">                            </w:t>
      </w:r>
      <w:r>
        <w:rPr>
          <w:rFonts w:hint="eastAsia" w:ascii="宋体" w:hAnsi="宋体" w:cs="宋体"/>
          <w:sz w:val="28"/>
          <w:szCs w:val="28"/>
        </w:rPr>
        <w:t>分管领导：</w:t>
      </w:r>
    </w:p>
    <w:p>
      <w:pPr>
        <w:widowControl/>
        <w:spacing w:after="120"/>
        <w:textAlignment w:val="baseline"/>
        <w:rPr>
          <w:rFonts w:ascii="??"/>
          <w:sz w:val="28"/>
          <w:szCs w:val="28"/>
        </w:rPr>
      </w:pPr>
      <w:r>
        <w:rPr>
          <w:rFonts w:hint="eastAsia" w:ascii="宋体" w:hAnsi="宋体" w:cs="宋体"/>
          <w:sz w:val="28"/>
          <w:szCs w:val="28"/>
        </w:rPr>
        <w:t>注明：本次专项治理行动排查发现的问题隐患需及时交办整改。</w:t>
      </w:r>
    </w:p>
    <w:p>
      <w:pPr>
        <w:rPr>
          <w:rFonts w:ascii="??"/>
          <w:sz w:val="28"/>
          <w:szCs w:val="28"/>
        </w:rPr>
      </w:pPr>
    </w:p>
    <w:p>
      <w:pPr>
        <w:autoSpaceDE w:val="0"/>
        <w:autoSpaceDN w:val="0"/>
        <w:adjustRightInd w:val="0"/>
        <w:spacing w:line="560" w:lineRule="exact"/>
        <w:contextualSpacing/>
        <w:rPr>
          <w:rFonts w:ascii="??"/>
          <w:sz w:val="28"/>
          <w:szCs w:val="28"/>
        </w:rPr>
      </w:pPr>
      <w:r>
        <w:rPr>
          <w:rFonts w:hint="eastAsia" w:ascii="宋体" w:hAnsi="宋体" w:cs="宋体"/>
          <w:sz w:val="28"/>
          <w:szCs w:val="28"/>
        </w:rPr>
        <w:t>附件</w:t>
      </w:r>
      <w:r>
        <w:rPr>
          <w:rFonts w:ascii="??" w:hAnsi="??"/>
          <w:sz w:val="28"/>
          <w:szCs w:val="28"/>
        </w:rPr>
        <w:t>3</w:t>
      </w:r>
      <w:r>
        <w:rPr>
          <w:rFonts w:hint="eastAsia" w:ascii="宋体" w:hAnsi="宋体" w:cs="宋体"/>
          <w:sz w:val="28"/>
          <w:szCs w:val="28"/>
        </w:rPr>
        <w:t>：</w:t>
      </w:r>
    </w:p>
    <w:tbl>
      <w:tblPr>
        <w:tblStyle w:val="11"/>
        <w:tblW w:w="13920" w:type="dxa"/>
        <w:tblInd w:w="93" w:type="dxa"/>
        <w:tblLayout w:type="fixed"/>
        <w:tblCellMar>
          <w:top w:w="0" w:type="dxa"/>
          <w:left w:w="108" w:type="dxa"/>
          <w:bottom w:w="0" w:type="dxa"/>
          <w:right w:w="108" w:type="dxa"/>
        </w:tblCellMar>
      </w:tblPr>
      <w:tblGrid>
        <w:gridCol w:w="555"/>
        <w:gridCol w:w="1980"/>
        <w:gridCol w:w="3001"/>
        <w:gridCol w:w="3449"/>
        <w:gridCol w:w="1887"/>
        <w:gridCol w:w="1524"/>
        <w:gridCol w:w="1524"/>
      </w:tblGrid>
      <w:tr>
        <w:tblPrEx>
          <w:tblCellMar>
            <w:top w:w="0" w:type="dxa"/>
            <w:left w:w="108" w:type="dxa"/>
            <w:bottom w:w="0" w:type="dxa"/>
            <w:right w:w="108" w:type="dxa"/>
          </w:tblCellMar>
        </w:tblPrEx>
        <w:trPr>
          <w:trHeight w:val="882" w:hRule="atLeast"/>
        </w:trPr>
        <w:tc>
          <w:tcPr>
            <w:tcW w:w="13920" w:type="dxa"/>
            <w:gridSpan w:val="7"/>
            <w:tcBorders>
              <w:top w:val="nil"/>
              <w:left w:val="nil"/>
              <w:bottom w:val="nil"/>
              <w:right w:val="nil"/>
            </w:tcBorders>
            <w:noWrap/>
            <w:vAlign w:val="center"/>
          </w:tcPr>
          <w:p>
            <w:pPr>
              <w:widowControl/>
              <w:jc w:val="center"/>
              <w:textAlignment w:val="center"/>
              <w:rPr>
                <w:rFonts w:ascii="黑体" w:hAnsi="黑体" w:eastAsia="黑体"/>
                <w:color w:val="000000"/>
                <w:kern w:val="0"/>
                <w:sz w:val="44"/>
                <w:szCs w:val="44"/>
              </w:rPr>
            </w:pPr>
            <w:r>
              <w:rPr>
                <w:rFonts w:hint="eastAsia" w:ascii="黑体" w:hAnsi="黑体" w:eastAsia="黑体"/>
                <w:color w:val="000000"/>
                <w:kern w:val="0"/>
                <w:sz w:val="44"/>
                <w:szCs w:val="44"/>
              </w:rPr>
              <w:t>安全生产措施清单</w:t>
            </w:r>
          </w:p>
        </w:tc>
      </w:tr>
      <w:tr>
        <w:tblPrEx>
          <w:tblCellMar>
            <w:top w:w="0" w:type="dxa"/>
            <w:left w:w="108" w:type="dxa"/>
            <w:bottom w:w="0" w:type="dxa"/>
            <w:right w:w="108" w:type="dxa"/>
          </w:tblCellMar>
        </w:tblPrEx>
        <w:trPr>
          <w:trHeight w:val="441" w:hRule="atLeast"/>
        </w:trPr>
        <w:tc>
          <w:tcPr>
            <w:tcW w:w="5536" w:type="dxa"/>
            <w:gridSpan w:val="3"/>
            <w:tcBorders>
              <w:top w:val="nil"/>
              <w:left w:val="nil"/>
              <w:bottom w:val="nil"/>
              <w:right w:val="nil"/>
            </w:tcBorders>
            <w:vAlign w:val="center"/>
          </w:tcPr>
          <w:p>
            <w:pPr>
              <w:jc w:val="left"/>
              <w:rPr>
                <w:rFonts w:ascii="??" w:cs="??"/>
                <w:color w:val="000000"/>
                <w:sz w:val="28"/>
                <w:szCs w:val="28"/>
              </w:rPr>
            </w:pPr>
            <w:r>
              <w:rPr>
                <w:rFonts w:hint="eastAsia" w:ascii="宋体" w:hAnsi="宋体" w:cs="宋体"/>
                <w:color w:val="000000"/>
                <w:kern w:val="0"/>
                <w:sz w:val="28"/>
                <w:szCs w:val="28"/>
              </w:rPr>
              <w:t>填报部门：（盖章）</w:t>
            </w:r>
          </w:p>
        </w:tc>
        <w:tc>
          <w:tcPr>
            <w:tcW w:w="3449" w:type="dxa"/>
            <w:tcBorders>
              <w:top w:val="nil"/>
              <w:left w:val="nil"/>
              <w:bottom w:val="nil"/>
              <w:right w:val="nil"/>
            </w:tcBorders>
            <w:vAlign w:val="center"/>
          </w:tcPr>
          <w:p>
            <w:pPr>
              <w:jc w:val="center"/>
              <w:rPr>
                <w:rFonts w:ascii="??" w:cs="??"/>
                <w:color w:val="000000"/>
                <w:sz w:val="28"/>
                <w:szCs w:val="28"/>
              </w:rPr>
            </w:pPr>
          </w:p>
        </w:tc>
        <w:tc>
          <w:tcPr>
            <w:tcW w:w="4935" w:type="dxa"/>
            <w:gridSpan w:val="3"/>
            <w:tcBorders>
              <w:top w:val="nil"/>
              <w:left w:val="nil"/>
              <w:bottom w:val="nil"/>
              <w:right w:val="nil"/>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填报时间：</w:t>
            </w:r>
            <w:r>
              <w:rPr>
                <w:rFonts w:ascii="??" w:hAnsi="??" w:cs="??"/>
                <w:color w:val="000000"/>
                <w:kern w:val="0"/>
                <w:sz w:val="28"/>
                <w:szCs w:val="28"/>
              </w:rPr>
              <w:t xml:space="preserve">    </w:t>
            </w:r>
            <w:r>
              <w:rPr>
                <w:rFonts w:hint="eastAsia" w:ascii="宋体" w:hAnsi="宋体" w:cs="宋体"/>
                <w:color w:val="000000"/>
                <w:kern w:val="0"/>
                <w:sz w:val="28"/>
                <w:szCs w:val="28"/>
              </w:rPr>
              <w:t>年</w:t>
            </w:r>
            <w:r>
              <w:rPr>
                <w:rFonts w:ascii="??" w:hAnsi="??" w:cs="??"/>
                <w:color w:val="000000"/>
                <w:kern w:val="0"/>
                <w:sz w:val="28"/>
                <w:szCs w:val="28"/>
              </w:rPr>
              <w:t xml:space="preserve">    </w:t>
            </w:r>
            <w:r>
              <w:rPr>
                <w:rFonts w:hint="eastAsia" w:ascii="宋体" w:hAnsi="宋体" w:cs="宋体"/>
                <w:color w:val="000000"/>
                <w:kern w:val="0"/>
                <w:sz w:val="28"/>
                <w:szCs w:val="28"/>
              </w:rPr>
              <w:t>月</w:t>
            </w:r>
            <w:r>
              <w:rPr>
                <w:rFonts w:ascii="??" w:hAnsi="??" w:cs="??"/>
                <w:color w:val="000000"/>
                <w:kern w:val="0"/>
                <w:sz w:val="28"/>
                <w:szCs w:val="28"/>
              </w:rPr>
              <w:t xml:space="preserve">    </w:t>
            </w:r>
            <w:r>
              <w:rPr>
                <w:rFonts w:hint="eastAsia" w:ascii="宋体" w:hAnsi="宋体" w:cs="宋体"/>
                <w:color w:val="000000"/>
                <w:kern w:val="0"/>
                <w:sz w:val="28"/>
                <w:szCs w:val="28"/>
              </w:rPr>
              <w:t>日</w:t>
            </w:r>
          </w:p>
        </w:tc>
      </w:tr>
      <w:tr>
        <w:tblPrEx>
          <w:tblCellMar>
            <w:top w:w="0" w:type="dxa"/>
            <w:left w:w="108" w:type="dxa"/>
            <w:bottom w:w="0" w:type="dxa"/>
            <w:right w:w="108" w:type="dxa"/>
          </w:tblCellMar>
        </w:tblPrEx>
        <w:trPr>
          <w:trHeight w:val="455" w:hRule="atLeast"/>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序号</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主体名称</w:t>
            </w:r>
          </w:p>
        </w:tc>
        <w:tc>
          <w:tcPr>
            <w:tcW w:w="30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sz w:val="28"/>
                <w:szCs w:val="28"/>
              </w:rPr>
            </w:pPr>
            <w:r>
              <w:rPr>
                <w:rFonts w:hint="eastAsia" w:ascii="宋体" w:hAnsi="宋体" w:cs="宋体"/>
                <w:color w:val="000000"/>
                <w:kern w:val="0"/>
                <w:sz w:val="28"/>
                <w:szCs w:val="28"/>
              </w:rPr>
              <w:t>问题隐患内容</w:t>
            </w:r>
          </w:p>
        </w:tc>
        <w:tc>
          <w:tcPr>
            <w:tcW w:w="68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整改情况</w:t>
            </w:r>
          </w:p>
        </w:tc>
        <w:tc>
          <w:tcPr>
            <w:tcW w:w="15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备注</w:t>
            </w:r>
          </w:p>
        </w:tc>
      </w:tr>
      <w:tr>
        <w:tblPrEx>
          <w:tblCellMar>
            <w:top w:w="0" w:type="dxa"/>
            <w:left w:w="108" w:type="dxa"/>
            <w:bottom w:w="0" w:type="dxa"/>
            <w:right w:w="108" w:type="dxa"/>
          </w:tblCellMar>
        </w:tblPrEx>
        <w:trPr>
          <w:trHeight w:val="604"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0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整改措施</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整改责任人</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hint="eastAsia" w:ascii="宋体" w:hAnsi="宋体" w:cs="宋体"/>
                <w:color w:val="000000"/>
                <w:kern w:val="0"/>
                <w:sz w:val="28"/>
                <w:szCs w:val="28"/>
              </w:rPr>
              <w:t>整改时限</w:t>
            </w: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r>
      <w:tr>
        <w:tblPrEx>
          <w:tblCellMar>
            <w:top w:w="0" w:type="dxa"/>
            <w:left w:w="108" w:type="dxa"/>
            <w:bottom w:w="0" w:type="dxa"/>
            <w:right w:w="108" w:type="dxa"/>
          </w:tblCellMar>
        </w:tblPrEx>
        <w:trPr>
          <w:trHeight w:val="4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1</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00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kern w:val="0"/>
                <w:sz w:val="28"/>
                <w:szCs w:val="28"/>
              </w:rPr>
            </w:pPr>
          </w:p>
        </w:tc>
        <w:tc>
          <w:tcPr>
            <w:tcW w:w="3449"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8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 w:cs="??"/>
                <w:color w:val="000000"/>
                <w:sz w:val="28"/>
                <w:szCs w:val="28"/>
              </w:rPr>
            </w:pPr>
          </w:p>
        </w:tc>
        <w:tc>
          <w:tcPr>
            <w:tcW w:w="15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 w:cs="??"/>
                <w:color w:val="000000"/>
                <w:sz w:val="28"/>
                <w:szCs w:val="28"/>
              </w:rPr>
            </w:pPr>
          </w:p>
        </w:tc>
        <w:tc>
          <w:tcPr>
            <w:tcW w:w="1524"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4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2</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00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kern w:val="0"/>
                <w:sz w:val="28"/>
                <w:szCs w:val="28"/>
              </w:rPr>
            </w:pPr>
          </w:p>
        </w:tc>
        <w:tc>
          <w:tcPr>
            <w:tcW w:w="3449"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887"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5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 w:cs="??"/>
                <w:color w:val="000000"/>
                <w:sz w:val="28"/>
                <w:szCs w:val="28"/>
              </w:rPr>
            </w:pPr>
          </w:p>
        </w:tc>
        <w:tc>
          <w:tcPr>
            <w:tcW w:w="1524" w:type="dxa"/>
            <w:tcBorders>
              <w:top w:val="single" w:color="000000"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455" w:hRule="atLeast"/>
        </w:trPr>
        <w:tc>
          <w:tcPr>
            <w:tcW w:w="5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3</w:t>
            </w:r>
          </w:p>
        </w:tc>
        <w:tc>
          <w:tcPr>
            <w:tcW w:w="1980"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3001"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kern w:val="0"/>
                <w:sz w:val="28"/>
                <w:szCs w:val="28"/>
              </w:rPr>
            </w:pPr>
          </w:p>
        </w:tc>
        <w:tc>
          <w:tcPr>
            <w:tcW w:w="3449"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887"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524" w:type="dxa"/>
            <w:tcBorders>
              <w:top w:val="single" w:color="000000" w:sz="4" w:space="0"/>
              <w:left w:val="single" w:color="000000" w:sz="4" w:space="0"/>
              <w:bottom w:val="single" w:color="auto" w:sz="4" w:space="0"/>
              <w:right w:val="single" w:color="000000" w:sz="4" w:space="0"/>
            </w:tcBorders>
            <w:noWrap/>
            <w:vAlign w:val="center"/>
          </w:tcPr>
          <w:p>
            <w:pPr>
              <w:jc w:val="center"/>
              <w:rPr>
                <w:rFonts w:ascii="??" w:cs="??"/>
                <w:color w:val="000000"/>
                <w:sz w:val="28"/>
                <w:szCs w:val="28"/>
              </w:rPr>
            </w:pPr>
          </w:p>
        </w:tc>
        <w:tc>
          <w:tcPr>
            <w:tcW w:w="1524" w:type="dxa"/>
            <w:tcBorders>
              <w:top w:val="single" w:color="000000"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195" w:hRule="atLeast"/>
        </w:trPr>
        <w:tc>
          <w:tcPr>
            <w:tcW w:w="5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4</w:t>
            </w:r>
          </w:p>
        </w:tc>
        <w:tc>
          <w:tcPr>
            <w:tcW w:w="1980"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3001"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kern w:val="0"/>
                <w:sz w:val="28"/>
                <w:szCs w:val="28"/>
              </w:rPr>
            </w:pPr>
          </w:p>
        </w:tc>
        <w:tc>
          <w:tcPr>
            <w:tcW w:w="3449"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887"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524" w:type="dxa"/>
            <w:tcBorders>
              <w:top w:val="single" w:color="auto" w:sz="4" w:space="0"/>
              <w:left w:val="single" w:color="000000" w:sz="4" w:space="0"/>
              <w:bottom w:val="single" w:color="auto" w:sz="4" w:space="0"/>
              <w:right w:val="single" w:color="000000" w:sz="4" w:space="0"/>
            </w:tcBorders>
            <w:noWrap/>
            <w:vAlign w:val="center"/>
          </w:tcPr>
          <w:p>
            <w:pPr>
              <w:jc w:val="center"/>
              <w:rPr>
                <w:rFonts w:ascii="??" w:cs="??"/>
                <w:color w:val="000000"/>
                <w:sz w:val="28"/>
                <w:szCs w:val="28"/>
              </w:rPr>
            </w:pPr>
          </w:p>
        </w:tc>
        <w:tc>
          <w:tcPr>
            <w:tcW w:w="1524"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420" w:hRule="atLeast"/>
        </w:trPr>
        <w:tc>
          <w:tcPr>
            <w:tcW w:w="555"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 w:cs="??"/>
                <w:color w:val="000000"/>
                <w:kern w:val="0"/>
                <w:sz w:val="28"/>
                <w:szCs w:val="28"/>
              </w:rPr>
            </w:pPr>
            <w:r>
              <w:rPr>
                <w:rFonts w:ascii="??" w:hAnsi="??" w:cs="??"/>
                <w:color w:val="000000"/>
                <w:kern w:val="0"/>
                <w:sz w:val="28"/>
                <w:szCs w:val="28"/>
              </w:rPr>
              <w:t>5</w:t>
            </w:r>
          </w:p>
        </w:tc>
        <w:tc>
          <w:tcPr>
            <w:tcW w:w="1980"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3001"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kern w:val="0"/>
                <w:sz w:val="28"/>
                <w:szCs w:val="28"/>
              </w:rPr>
            </w:pPr>
          </w:p>
        </w:tc>
        <w:tc>
          <w:tcPr>
            <w:tcW w:w="3449"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887"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524" w:type="dxa"/>
            <w:tcBorders>
              <w:top w:val="single" w:color="auto" w:sz="4" w:space="0"/>
              <w:left w:val="single" w:color="000000" w:sz="4" w:space="0"/>
              <w:bottom w:val="single" w:color="auto" w:sz="4" w:space="0"/>
              <w:right w:val="single" w:color="000000" w:sz="4" w:space="0"/>
            </w:tcBorders>
            <w:noWrap/>
            <w:vAlign w:val="center"/>
          </w:tcPr>
          <w:p>
            <w:pPr>
              <w:jc w:val="center"/>
              <w:rPr>
                <w:rFonts w:ascii="??" w:cs="??"/>
                <w:color w:val="000000"/>
                <w:sz w:val="28"/>
                <w:szCs w:val="28"/>
              </w:rPr>
            </w:pPr>
          </w:p>
        </w:tc>
        <w:tc>
          <w:tcPr>
            <w:tcW w:w="1524" w:type="dxa"/>
            <w:tcBorders>
              <w:top w:val="single" w:color="auto" w:sz="4" w:space="0"/>
              <w:left w:val="single" w:color="000000" w:sz="4" w:space="0"/>
              <w:bottom w:val="single" w:color="auto" w:sz="4" w:space="0"/>
              <w:right w:val="single" w:color="000000" w:sz="4" w:space="0"/>
            </w:tcBorders>
            <w:noWrap/>
            <w:vAlign w:val="center"/>
          </w:tcPr>
          <w:p>
            <w:pPr>
              <w:rPr>
                <w:rFonts w:ascii="??" w:cs="??"/>
                <w:color w:val="000000"/>
                <w:sz w:val="28"/>
                <w:szCs w:val="28"/>
              </w:rPr>
            </w:pPr>
          </w:p>
        </w:tc>
      </w:tr>
      <w:tr>
        <w:tblPrEx>
          <w:tblCellMar>
            <w:top w:w="0" w:type="dxa"/>
            <w:left w:w="108" w:type="dxa"/>
            <w:bottom w:w="0" w:type="dxa"/>
            <w:right w:w="108" w:type="dxa"/>
          </w:tblCellMar>
        </w:tblPrEx>
        <w:trPr>
          <w:trHeight w:val="405" w:hRule="atLeast"/>
        </w:trPr>
        <w:tc>
          <w:tcPr>
            <w:tcW w:w="555"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 w:cs="??"/>
                <w:color w:val="000000"/>
                <w:kern w:val="0"/>
                <w:sz w:val="28"/>
                <w:szCs w:val="28"/>
              </w:rPr>
            </w:pPr>
            <w:r>
              <w:rPr>
                <w:rFonts w:ascii="??" w:hAnsi="??" w:cs="??"/>
                <w:color w:val="000000"/>
                <w:kern w:val="0"/>
                <w:sz w:val="28"/>
                <w:szCs w:val="28"/>
              </w:rPr>
              <w:t>6</w:t>
            </w:r>
          </w:p>
        </w:tc>
        <w:tc>
          <w:tcPr>
            <w:tcW w:w="1980"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3001"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kern w:val="0"/>
                <w:sz w:val="28"/>
                <w:szCs w:val="28"/>
              </w:rPr>
            </w:pPr>
          </w:p>
        </w:tc>
        <w:tc>
          <w:tcPr>
            <w:tcW w:w="3449"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887"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524" w:type="dxa"/>
            <w:tcBorders>
              <w:top w:val="single" w:color="auto" w:sz="4" w:space="0"/>
              <w:left w:val="single" w:color="000000" w:sz="4" w:space="0"/>
              <w:bottom w:val="single" w:color="000000" w:sz="4" w:space="0"/>
              <w:right w:val="single" w:color="000000" w:sz="4" w:space="0"/>
            </w:tcBorders>
            <w:noWrap/>
            <w:vAlign w:val="center"/>
          </w:tcPr>
          <w:p>
            <w:pPr>
              <w:jc w:val="center"/>
              <w:rPr>
                <w:rFonts w:ascii="??" w:cs="??"/>
                <w:color w:val="000000"/>
                <w:sz w:val="28"/>
                <w:szCs w:val="28"/>
              </w:rPr>
            </w:pPr>
          </w:p>
        </w:tc>
        <w:tc>
          <w:tcPr>
            <w:tcW w:w="1524" w:type="dxa"/>
            <w:tcBorders>
              <w:top w:val="single" w:color="auto" w:sz="4" w:space="0"/>
              <w:left w:val="single" w:color="000000" w:sz="4" w:space="0"/>
              <w:bottom w:val="single" w:color="000000" w:sz="4" w:space="0"/>
              <w:right w:val="single" w:color="000000" w:sz="4" w:space="0"/>
            </w:tcBorders>
            <w:noWrap/>
            <w:vAlign w:val="center"/>
          </w:tcPr>
          <w:p>
            <w:pPr>
              <w:rPr>
                <w:rFonts w:ascii="??" w:cs="??"/>
                <w:color w:val="000000"/>
                <w:sz w:val="28"/>
                <w:szCs w:val="28"/>
              </w:rPr>
            </w:pPr>
          </w:p>
        </w:tc>
      </w:tr>
    </w:tbl>
    <w:p>
      <w:pPr>
        <w:ind w:firstLine="840" w:firstLineChars="300"/>
        <w:rPr>
          <w:rFonts w:ascii="??"/>
          <w:sz w:val="28"/>
          <w:szCs w:val="28"/>
        </w:rPr>
      </w:pPr>
      <w:r>
        <w:rPr>
          <w:rFonts w:hint="eastAsia" w:ascii="宋体" w:hAnsi="宋体" w:cs="宋体"/>
          <w:sz w:val="28"/>
          <w:szCs w:val="28"/>
        </w:rPr>
        <w:t>填报人：</w:t>
      </w:r>
      <w:r>
        <w:rPr>
          <w:rFonts w:ascii="??" w:hAnsi="??"/>
          <w:sz w:val="28"/>
          <w:szCs w:val="28"/>
        </w:rPr>
        <w:t xml:space="preserve">                   </w:t>
      </w:r>
      <w:r>
        <w:rPr>
          <w:rFonts w:hint="eastAsia" w:ascii="宋体" w:hAnsi="宋体" w:cs="宋体"/>
          <w:sz w:val="28"/>
          <w:szCs w:val="28"/>
        </w:rPr>
        <w:t>单位负责人：</w:t>
      </w:r>
      <w:r>
        <w:rPr>
          <w:rFonts w:ascii="??" w:hAnsi="??"/>
          <w:sz w:val="28"/>
          <w:szCs w:val="28"/>
        </w:rPr>
        <w:t xml:space="preserve">                            </w:t>
      </w:r>
      <w:r>
        <w:rPr>
          <w:rFonts w:hint="eastAsia" w:ascii="宋体" w:hAnsi="宋体" w:cs="宋体"/>
          <w:sz w:val="28"/>
          <w:szCs w:val="28"/>
        </w:rPr>
        <w:t>分管领导：</w:t>
      </w:r>
    </w:p>
    <w:p>
      <w:pPr>
        <w:rPr>
          <w:rFonts w:ascii="??"/>
          <w:sz w:val="28"/>
          <w:szCs w:val="28"/>
        </w:rPr>
      </w:pPr>
      <w:r>
        <w:rPr>
          <w:rFonts w:ascii="??"/>
          <w:sz w:val="28"/>
          <w:szCs w:val="28"/>
        </w:rPr>
        <w:br w:type="page"/>
      </w:r>
    </w:p>
    <w:p>
      <w:pPr>
        <w:autoSpaceDE w:val="0"/>
        <w:autoSpaceDN w:val="0"/>
        <w:adjustRightInd w:val="0"/>
        <w:spacing w:line="560" w:lineRule="exact"/>
        <w:contextualSpacing/>
        <w:rPr>
          <w:rFonts w:ascii="??"/>
          <w:sz w:val="28"/>
          <w:szCs w:val="28"/>
        </w:rPr>
      </w:pPr>
      <w:r>
        <w:rPr>
          <w:rFonts w:hint="eastAsia" w:ascii="宋体" w:hAnsi="宋体" w:cs="宋体"/>
          <w:sz w:val="28"/>
          <w:szCs w:val="28"/>
        </w:rPr>
        <w:t>附件</w:t>
      </w:r>
      <w:r>
        <w:rPr>
          <w:rFonts w:ascii="??" w:hAnsi="??"/>
          <w:sz w:val="28"/>
          <w:szCs w:val="28"/>
        </w:rPr>
        <w:t>4</w:t>
      </w:r>
      <w:r>
        <w:rPr>
          <w:rFonts w:hint="eastAsia" w:ascii="宋体" w:hAnsi="宋体" w:cs="宋体"/>
          <w:sz w:val="28"/>
          <w:szCs w:val="28"/>
        </w:rPr>
        <w:t>：</w:t>
      </w:r>
    </w:p>
    <w:tbl>
      <w:tblPr>
        <w:tblStyle w:val="11"/>
        <w:tblW w:w="13960" w:type="dxa"/>
        <w:tblInd w:w="93" w:type="dxa"/>
        <w:tblLayout w:type="autofit"/>
        <w:tblCellMar>
          <w:top w:w="0" w:type="dxa"/>
          <w:left w:w="108" w:type="dxa"/>
          <w:bottom w:w="0" w:type="dxa"/>
          <w:right w:w="108" w:type="dxa"/>
        </w:tblCellMar>
      </w:tblPr>
      <w:tblGrid>
        <w:gridCol w:w="555"/>
        <w:gridCol w:w="2375"/>
        <w:gridCol w:w="2983"/>
        <w:gridCol w:w="1726"/>
        <w:gridCol w:w="2276"/>
        <w:gridCol w:w="2631"/>
        <w:gridCol w:w="1414"/>
      </w:tblGrid>
      <w:tr>
        <w:tblPrEx>
          <w:tblCellMar>
            <w:top w:w="0" w:type="dxa"/>
            <w:left w:w="108" w:type="dxa"/>
            <w:bottom w:w="0" w:type="dxa"/>
            <w:right w:w="108" w:type="dxa"/>
          </w:tblCellMar>
        </w:tblPrEx>
        <w:trPr>
          <w:trHeight w:val="729" w:hRule="atLeast"/>
        </w:trPr>
        <w:tc>
          <w:tcPr>
            <w:tcW w:w="13960" w:type="dxa"/>
            <w:gridSpan w:val="7"/>
            <w:tcBorders>
              <w:top w:val="nil"/>
              <w:left w:val="nil"/>
              <w:bottom w:val="nil"/>
              <w:right w:val="nil"/>
            </w:tcBorders>
            <w:noWrap/>
            <w:vAlign w:val="center"/>
          </w:tcPr>
          <w:p>
            <w:pPr>
              <w:widowControl/>
              <w:jc w:val="center"/>
              <w:textAlignment w:val="center"/>
              <w:rPr>
                <w:rFonts w:ascii="黑体" w:hAnsi="黑体" w:eastAsia="黑体"/>
                <w:color w:val="000000"/>
                <w:kern w:val="0"/>
                <w:sz w:val="44"/>
                <w:szCs w:val="44"/>
              </w:rPr>
            </w:pPr>
            <w:r>
              <w:rPr>
                <w:rFonts w:hint="eastAsia" w:ascii="黑体" w:hAnsi="黑体" w:eastAsia="黑体"/>
                <w:color w:val="000000"/>
                <w:kern w:val="0"/>
                <w:sz w:val="44"/>
                <w:szCs w:val="44"/>
              </w:rPr>
              <w:t>安全生产销号清单</w:t>
            </w:r>
          </w:p>
        </w:tc>
      </w:tr>
      <w:tr>
        <w:tblPrEx>
          <w:tblCellMar>
            <w:top w:w="0" w:type="dxa"/>
            <w:left w:w="108" w:type="dxa"/>
            <w:bottom w:w="0" w:type="dxa"/>
            <w:right w:w="108" w:type="dxa"/>
          </w:tblCellMar>
        </w:tblPrEx>
        <w:trPr>
          <w:trHeight w:val="364" w:hRule="atLeast"/>
        </w:trPr>
        <w:tc>
          <w:tcPr>
            <w:tcW w:w="2930" w:type="dxa"/>
            <w:gridSpan w:val="2"/>
            <w:tcBorders>
              <w:top w:val="nil"/>
              <w:left w:val="nil"/>
              <w:bottom w:val="nil"/>
              <w:right w:val="nil"/>
            </w:tcBorders>
            <w:vAlign w:val="center"/>
          </w:tcPr>
          <w:p>
            <w:pPr>
              <w:ind w:firstLine="280" w:firstLineChars="100"/>
              <w:jc w:val="left"/>
              <w:rPr>
                <w:rFonts w:ascii="??" w:cs="??"/>
                <w:color w:val="000000"/>
                <w:sz w:val="28"/>
                <w:szCs w:val="28"/>
              </w:rPr>
            </w:pPr>
            <w:r>
              <w:rPr>
                <w:rFonts w:hint="eastAsia" w:ascii="宋体" w:hAnsi="宋体" w:cs="宋体"/>
                <w:color w:val="000000"/>
                <w:kern w:val="0"/>
                <w:sz w:val="28"/>
                <w:szCs w:val="28"/>
              </w:rPr>
              <w:t>填报部门：（盖章）</w:t>
            </w:r>
          </w:p>
        </w:tc>
        <w:tc>
          <w:tcPr>
            <w:tcW w:w="2983" w:type="dxa"/>
            <w:tcBorders>
              <w:top w:val="nil"/>
              <w:left w:val="nil"/>
              <w:bottom w:val="nil"/>
              <w:right w:val="nil"/>
            </w:tcBorders>
            <w:vAlign w:val="center"/>
          </w:tcPr>
          <w:p>
            <w:pPr>
              <w:jc w:val="left"/>
              <w:rPr>
                <w:rFonts w:ascii="??" w:cs="??"/>
                <w:color w:val="000000"/>
                <w:sz w:val="28"/>
                <w:szCs w:val="28"/>
              </w:rPr>
            </w:pPr>
          </w:p>
        </w:tc>
        <w:tc>
          <w:tcPr>
            <w:tcW w:w="8047" w:type="dxa"/>
            <w:gridSpan w:val="4"/>
            <w:tcBorders>
              <w:top w:val="nil"/>
              <w:left w:val="nil"/>
              <w:bottom w:val="single" w:color="auto" w:sz="4" w:space="0"/>
              <w:right w:val="nil"/>
            </w:tcBorders>
            <w:vAlign w:val="center"/>
          </w:tcPr>
          <w:p>
            <w:pPr>
              <w:widowControl/>
              <w:ind w:firstLine="1820" w:firstLineChars="650"/>
              <w:textAlignment w:val="center"/>
              <w:rPr>
                <w:rFonts w:ascii="??" w:cs="??"/>
                <w:color w:val="000000"/>
                <w:sz w:val="28"/>
                <w:szCs w:val="28"/>
              </w:rPr>
            </w:pPr>
            <w:r>
              <w:rPr>
                <w:rFonts w:ascii="??" w:hAnsi="??" w:cs="??"/>
                <w:color w:val="000000"/>
                <w:kern w:val="0"/>
                <w:sz w:val="28"/>
                <w:szCs w:val="28"/>
              </w:rPr>
              <w:t xml:space="preserve">     </w:t>
            </w:r>
            <w:r>
              <w:rPr>
                <w:rFonts w:hint="eastAsia" w:ascii="宋体" w:hAnsi="宋体" w:cs="宋体"/>
                <w:color w:val="000000"/>
                <w:kern w:val="0"/>
                <w:sz w:val="28"/>
                <w:szCs w:val="28"/>
              </w:rPr>
              <w:t>填报时间：</w:t>
            </w:r>
            <w:r>
              <w:rPr>
                <w:rFonts w:ascii="??" w:hAnsi="??" w:cs="??"/>
                <w:color w:val="000000"/>
                <w:kern w:val="0"/>
                <w:sz w:val="28"/>
                <w:szCs w:val="28"/>
              </w:rPr>
              <w:t xml:space="preserve">    </w:t>
            </w:r>
            <w:r>
              <w:rPr>
                <w:rFonts w:hint="eastAsia" w:ascii="宋体" w:hAnsi="宋体" w:cs="宋体"/>
                <w:color w:val="000000"/>
                <w:kern w:val="0"/>
                <w:sz w:val="28"/>
                <w:szCs w:val="28"/>
              </w:rPr>
              <w:t>年</w:t>
            </w:r>
            <w:r>
              <w:rPr>
                <w:rFonts w:ascii="??" w:hAnsi="??" w:cs="??"/>
                <w:color w:val="000000"/>
                <w:kern w:val="0"/>
                <w:sz w:val="28"/>
                <w:szCs w:val="28"/>
              </w:rPr>
              <w:t xml:space="preserve">    </w:t>
            </w:r>
            <w:r>
              <w:rPr>
                <w:rFonts w:hint="eastAsia" w:ascii="宋体" w:hAnsi="宋体" w:cs="宋体"/>
                <w:color w:val="000000"/>
                <w:kern w:val="0"/>
                <w:sz w:val="28"/>
                <w:szCs w:val="28"/>
              </w:rPr>
              <w:t>月</w:t>
            </w:r>
            <w:r>
              <w:rPr>
                <w:rFonts w:ascii="??" w:hAnsi="??" w:cs="??"/>
                <w:color w:val="000000"/>
                <w:kern w:val="0"/>
                <w:sz w:val="28"/>
                <w:szCs w:val="28"/>
              </w:rPr>
              <w:t xml:space="preserve">   </w:t>
            </w:r>
            <w:r>
              <w:rPr>
                <w:rFonts w:hint="eastAsia" w:ascii="宋体" w:hAnsi="宋体" w:cs="宋体"/>
                <w:color w:val="000000"/>
                <w:kern w:val="0"/>
                <w:sz w:val="28"/>
                <w:szCs w:val="28"/>
              </w:rPr>
              <w:t>日</w:t>
            </w:r>
          </w:p>
        </w:tc>
      </w:tr>
      <w:tr>
        <w:tblPrEx>
          <w:tblCellMar>
            <w:top w:w="0" w:type="dxa"/>
            <w:left w:w="108" w:type="dxa"/>
            <w:bottom w:w="0" w:type="dxa"/>
            <w:right w:w="108" w:type="dxa"/>
          </w:tblCellMar>
        </w:tblPrEx>
        <w:trPr>
          <w:trHeight w:val="376" w:hRule="atLeast"/>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序号</w:t>
            </w:r>
          </w:p>
        </w:tc>
        <w:tc>
          <w:tcPr>
            <w:tcW w:w="23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主体名称</w:t>
            </w:r>
          </w:p>
        </w:tc>
        <w:tc>
          <w:tcPr>
            <w:tcW w:w="2983" w:type="dxa"/>
            <w:vMerge w:val="restart"/>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宋体" w:hAnsi="宋体" w:cs="宋体"/>
              </w:rPr>
              <w:t>问题隐患内容</w:t>
            </w:r>
          </w:p>
        </w:tc>
        <w:tc>
          <w:tcPr>
            <w:tcW w:w="6633"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销号情况</w:t>
            </w:r>
          </w:p>
        </w:tc>
        <w:tc>
          <w:tcPr>
            <w:tcW w:w="1414" w:type="dxa"/>
            <w:vMerge w:val="restart"/>
            <w:tcBorders>
              <w:top w:val="single" w:color="000000" w:sz="4" w:space="0"/>
              <w:left w:val="single" w:color="auto" w:sz="4" w:space="0"/>
              <w:bottom w:val="single" w:color="000000" w:sz="4" w:space="0"/>
              <w:right w:val="nil"/>
            </w:tcBorders>
            <w:vAlign w:val="center"/>
          </w:tcPr>
          <w:p>
            <w:pPr>
              <w:jc w:val="center"/>
            </w:pPr>
            <w:r>
              <w:rPr>
                <w:rFonts w:hint="eastAsia" w:ascii="宋体" w:hAnsi="宋体" w:cs="宋体"/>
              </w:rPr>
              <w:t>备注</w:t>
            </w:r>
          </w:p>
        </w:tc>
      </w:tr>
      <w:tr>
        <w:tblPrEx>
          <w:tblCellMar>
            <w:top w:w="0" w:type="dxa"/>
            <w:left w:w="108" w:type="dxa"/>
            <w:bottom w:w="0" w:type="dxa"/>
            <w:right w:w="108" w:type="dxa"/>
          </w:tblCellMar>
        </w:tblPrEx>
        <w:trPr>
          <w:trHeight w:val="740"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3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983"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 w:cs="??"/>
                <w:color w:val="000000"/>
                <w:sz w:val="28"/>
                <w:szCs w:val="28"/>
              </w:rPr>
            </w:pPr>
          </w:p>
        </w:tc>
        <w:tc>
          <w:tcPr>
            <w:tcW w:w="1726" w:type="dxa"/>
            <w:tcBorders>
              <w:top w:val="single" w:color="auto" w:sz="4" w:space="0"/>
              <w:left w:val="single" w:color="auto" w:sz="4" w:space="0"/>
              <w:bottom w:val="single" w:color="auto" w:sz="4" w:space="0"/>
              <w:right w:val="single" w:color="000000" w:sz="4" w:space="0"/>
            </w:tcBorders>
            <w:vAlign w:val="center"/>
          </w:tcPr>
          <w:p>
            <w:pPr>
              <w:jc w:val="center"/>
            </w:pPr>
            <w:r>
              <w:rPr>
                <w:rFonts w:hint="eastAsia" w:ascii="宋体" w:hAnsi="宋体" w:cs="宋体"/>
              </w:rPr>
              <w:t>是否序时</w:t>
            </w:r>
          </w:p>
          <w:p>
            <w:pPr>
              <w:jc w:val="center"/>
            </w:pPr>
            <w:r>
              <w:rPr>
                <w:rFonts w:hint="eastAsia" w:ascii="宋体" w:hAnsi="宋体" w:cs="宋体"/>
              </w:rPr>
              <w:t>完成整改</w:t>
            </w:r>
          </w:p>
        </w:tc>
        <w:tc>
          <w:tcPr>
            <w:tcW w:w="2276" w:type="dxa"/>
            <w:tcBorders>
              <w:top w:val="single" w:color="000000" w:sz="4" w:space="0"/>
              <w:left w:val="single" w:color="auto" w:sz="4" w:space="0"/>
              <w:bottom w:val="single" w:color="000000" w:sz="4" w:space="0"/>
              <w:right w:val="single" w:color="000000" w:sz="4" w:space="0"/>
            </w:tcBorders>
            <w:vAlign w:val="center"/>
          </w:tcPr>
          <w:p>
            <w:pPr>
              <w:jc w:val="center"/>
            </w:pPr>
            <w:r>
              <w:rPr>
                <w:rFonts w:hint="eastAsia" w:ascii="宋体" w:hAnsi="宋体" w:cs="宋体"/>
              </w:rPr>
              <w:t>复查人员</w:t>
            </w:r>
          </w:p>
        </w:tc>
        <w:tc>
          <w:tcPr>
            <w:tcW w:w="263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rPr>
              <w:t>复查时间</w:t>
            </w:r>
          </w:p>
        </w:tc>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
                <w:sz w:val="28"/>
                <w:szCs w:val="28"/>
              </w:rPr>
            </w:pPr>
          </w:p>
        </w:tc>
      </w:tr>
      <w:tr>
        <w:tblPrEx>
          <w:tblCellMar>
            <w:top w:w="0" w:type="dxa"/>
            <w:left w:w="108" w:type="dxa"/>
            <w:bottom w:w="0" w:type="dxa"/>
            <w:right w:w="108" w:type="dxa"/>
          </w:tblCellMar>
        </w:tblPrEx>
        <w:trPr>
          <w:trHeight w:val="44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1</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9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 w:cs="??"/>
                <w:color w:val="000000"/>
                <w:sz w:val="28"/>
                <w:szCs w:val="28"/>
              </w:rPr>
            </w:pPr>
          </w:p>
        </w:tc>
        <w:tc>
          <w:tcPr>
            <w:tcW w:w="1726"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276"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63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
                <w:sz w:val="28"/>
                <w:szCs w:val="28"/>
              </w:rPr>
            </w:pPr>
          </w:p>
        </w:tc>
      </w:tr>
      <w:tr>
        <w:tblPrEx>
          <w:tblCellMar>
            <w:top w:w="0" w:type="dxa"/>
            <w:left w:w="108" w:type="dxa"/>
            <w:bottom w:w="0" w:type="dxa"/>
            <w:right w:w="108" w:type="dxa"/>
          </w:tblCellMar>
        </w:tblPrEx>
        <w:trPr>
          <w:trHeight w:val="46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2</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983"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276"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63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pPr>
              <w:rPr>
                <w:rFonts w:ascii="??"/>
                <w:sz w:val="28"/>
                <w:szCs w:val="28"/>
              </w:rPr>
            </w:pPr>
          </w:p>
        </w:tc>
      </w:tr>
      <w:tr>
        <w:tblPrEx>
          <w:tblCellMar>
            <w:top w:w="0" w:type="dxa"/>
            <w:left w:w="108" w:type="dxa"/>
            <w:bottom w:w="0" w:type="dxa"/>
            <w:right w:w="108" w:type="dxa"/>
          </w:tblCellMar>
        </w:tblPrEx>
        <w:trPr>
          <w:trHeight w:val="543"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3</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983"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276"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631" w:type="dxa"/>
            <w:tcBorders>
              <w:top w:val="single" w:color="000000"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pPr>
              <w:rPr>
                <w:rFonts w:ascii="??"/>
                <w:sz w:val="28"/>
                <w:szCs w:val="28"/>
              </w:rPr>
            </w:pPr>
          </w:p>
        </w:tc>
      </w:tr>
      <w:tr>
        <w:tblPrEx>
          <w:tblCellMar>
            <w:top w:w="0" w:type="dxa"/>
            <w:left w:w="108" w:type="dxa"/>
            <w:bottom w:w="0" w:type="dxa"/>
            <w:right w:w="108" w:type="dxa"/>
          </w:tblCellMar>
        </w:tblPrEx>
        <w:trPr>
          <w:trHeight w:val="180" w:hRule="atLeast"/>
        </w:trPr>
        <w:tc>
          <w:tcPr>
            <w:tcW w:w="5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 w:cs="??"/>
                <w:color w:val="000000"/>
                <w:sz w:val="28"/>
                <w:szCs w:val="28"/>
              </w:rPr>
            </w:pPr>
            <w:r>
              <w:rPr>
                <w:rFonts w:ascii="??" w:hAnsi="??" w:cs="??"/>
                <w:color w:val="000000"/>
                <w:kern w:val="0"/>
                <w:sz w:val="28"/>
                <w:szCs w:val="28"/>
              </w:rPr>
              <w:t>4</w:t>
            </w:r>
          </w:p>
        </w:tc>
        <w:tc>
          <w:tcPr>
            <w:tcW w:w="2375"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2983"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726"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2276"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2631" w:type="dxa"/>
            <w:tcBorders>
              <w:top w:val="single" w:color="000000"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414" w:type="dxa"/>
            <w:tcBorders>
              <w:top w:val="single" w:color="000000" w:sz="4" w:space="0"/>
              <w:left w:val="single" w:color="000000" w:sz="4" w:space="0"/>
              <w:bottom w:val="single" w:color="auto" w:sz="4" w:space="0"/>
              <w:right w:val="single" w:color="000000" w:sz="4" w:space="0"/>
            </w:tcBorders>
            <w:noWrap/>
            <w:vAlign w:val="center"/>
          </w:tcPr>
          <w:p>
            <w:pPr>
              <w:rPr>
                <w:rFonts w:ascii="??"/>
                <w:sz w:val="28"/>
                <w:szCs w:val="28"/>
              </w:rPr>
            </w:pPr>
          </w:p>
        </w:tc>
      </w:tr>
      <w:tr>
        <w:tblPrEx>
          <w:tblCellMar>
            <w:top w:w="0" w:type="dxa"/>
            <w:left w:w="108" w:type="dxa"/>
            <w:bottom w:w="0" w:type="dxa"/>
            <w:right w:w="108" w:type="dxa"/>
          </w:tblCellMar>
        </w:tblPrEx>
        <w:trPr>
          <w:trHeight w:val="435" w:hRule="atLeast"/>
        </w:trPr>
        <w:tc>
          <w:tcPr>
            <w:tcW w:w="555"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 w:cs="??"/>
                <w:color w:val="000000"/>
                <w:kern w:val="0"/>
                <w:sz w:val="28"/>
                <w:szCs w:val="28"/>
              </w:rPr>
            </w:pPr>
            <w:r>
              <w:rPr>
                <w:rFonts w:ascii="??" w:hAnsi="??" w:cs="??"/>
                <w:color w:val="000000"/>
                <w:kern w:val="0"/>
                <w:sz w:val="28"/>
                <w:szCs w:val="28"/>
              </w:rPr>
              <w:t>5</w:t>
            </w:r>
          </w:p>
        </w:tc>
        <w:tc>
          <w:tcPr>
            <w:tcW w:w="2375"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2983"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726"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2276"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2631" w:type="dxa"/>
            <w:tcBorders>
              <w:top w:val="single" w:color="auto" w:sz="4" w:space="0"/>
              <w:left w:val="single" w:color="000000" w:sz="4" w:space="0"/>
              <w:bottom w:val="single" w:color="auto" w:sz="4" w:space="0"/>
              <w:right w:val="single" w:color="000000" w:sz="4" w:space="0"/>
            </w:tcBorders>
            <w:vAlign w:val="center"/>
          </w:tcPr>
          <w:p>
            <w:pPr>
              <w:jc w:val="center"/>
              <w:rPr>
                <w:rFonts w:ascii="??" w:cs="??"/>
                <w:color w:val="000000"/>
                <w:sz w:val="28"/>
                <w:szCs w:val="28"/>
              </w:rPr>
            </w:pPr>
          </w:p>
        </w:tc>
        <w:tc>
          <w:tcPr>
            <w:tcW w:w="1414" w:type="dxa"/>
            <w:tcBorders>
              <w:top w:val="single" w:color="auto" w:sz="4" w:space="0"/>
              <w:left w:val="single" w:color="000000" w:sz="4" w:space="0"/>
              <w:bottom w:val="single" w:color="auto" w:sz="4" w:space="0"/>
              <w:right w:val="single" w:color="000000" w:sz="4" w:space="0"/>
            </w:tcBorders>
            <w:noWrap/>
            <w:vAlign w:val="center"/>
          </w:tcPr>
          <w:p>
            <w:pPr>
              <w:rPr>
                <w:rFonts w:ascii="??"/>
                <w:sz w:val="28"/>
                <w:szCs w:val="28"/>
              </w:rPr>
            </w:pPr>
          </w:p>
        </w:tc>
      </w:tr>
      <w:tr>
        <w:tblPrEx>
          <w:tblCellMar>
            <w:top w:w="0" w:type="dxa"/>
            <w:left w:w="108" w:type="dxa"/>
            <w:bottom w:w="0" w:type="dxa"/>
            <w:right w:w="108" w:type="dxa"/>
          </w:tblCellMar>
        </w:tblPrEx>
        <w:trPr>
          <w:trHeight w:val="420" w:hRule="atLeast"/>
        </w:trPr>
        <w:tc>
          <w:tcPr>
            <w:tcW w:w="555"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 w:cs="??"/>
                <w:color w:val="000000"/>
                <w:kern w:val="0"/>
                <w:sz w:val="28"/>
                <w:szCs w:val="28"/>
              </w:rPr>
            </w:pPr>
            <w:r>
              <w:rPr>
                <w:rFonts w:ascii="??" w:hAnsi="??" w:cs="??"/>
                <w:color w:val="000000"/>
                <w:kern w:val="0"/>
                <w:sz w:val="28"/>
                <w:szCs w:val="28"/>
              </w:rPr>
              <w:t>6</w:t>
            </w:r>
          </w:p>
        </w:tc>
        <w:tc>
          <w:tcPr>
            <w:tcW w:w="2375"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983"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726"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276"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2631" w:type="dxa"/>
            <w:tcBorders>
              <w:top w:val="single" w:color="auto" w:sz="4" w:space="0"/>
              <w:left w:val="single" w:color="000000" w:sz="4" w:space="0"/>
              <w:bottom w:val="single" w:color="000000" w:sz="4" w:space="0"/>
              <w:right w:val="single" w:color="000000" w:sz="4" w:space="0"/>
            </w:tcBorders>
            <w:vAlign w:val="center"/>
          </w:tcPr>
          <w:p>
            <w:pPr>
              <w:jc w:val="center"/>
              <w:rPr>
                <w:rFonts w:ascii="??" w:cs="??"/>
                <w:color w:val="000000"/>
                <w:sz w:val="28"/>
                <w:szCs w:val="28"/>
              </w:rPr>
            </w:pPr>
          </w:p>
        </w:tc>
        <w:tc>
          <w:tcPr>
            <w:tcW w:w="1414" w:type="dxa"/>
            <w:tcBorders>
              <w:top w:val="single" w:color="auto" w:sz="4" w:space="0"/>
              <w:left w:val="single" w:color="000000" w:sz="4" w:space="0"/>
              <w:bottom w:val="single" w:color="000000" w:sz="4" w:space="0"/>
              <w:right w:val="single" w:color="000000" w:sz="4" w:space="0"/>
            </w:tcBorders>
            <w:noWrap/>
            <w:vAlign w:val="center"/>
          </w:tcPr>
          <w:p>
            <w:pPr>
              <w:rPr>
                <w:rFonts w:ascii="??"/>
                <w:sz w:val="28"/>
                <w:szCs w:val="28"/>
              </w:rPr>
            </w:pPr>
          </w:p>
        </w:tc>
      </w:tr>
    </w:tbl>
    <w:p>
      <w:pPr>
        <w:ind w:firstLine="840" w:firstLineChars="300"/>
        <w:rPr>
          <w:rFonts w:ascii="??"/>
          <w:sz w:val="28"/>
          <w:szCs w:val="28"/>
        </w:rPr>
      </w:pPr>
      <w:r>
        <w:rPr>
          <w:rFonts w:hint="eastAsia" w:ascii="宋体" w:hAnsi="宋体" w:cs="宋体"/>
          <w:sz w:val="28"/>
          <w:szCs w:val="28"/>
        </w:rPr>
        <w:t>填报人：</w:t>
      </w:r>
      <w:r>
        <w:rPr>
          <w:rFonts w:ascii="??" w:hAnsi="??"/>
          <w:sz w:val="28"/>
          <w:szCs w:val="28"/>
        </w:rPr>
        <w:t xml:space="preserve">                   </w:t>
      </w:r>
      <w:r>
        <w:rPr>
          <w:rFonts w:hint="eastAsia" w:ascii="宋体" w:hAnsi="宋体" w:cs="宋体"/>
          <w:sz w:val="28"/>
          <w:szCs w:val="28"/>
        </w:rPr>
        <w:t>单位负责人：</w:t>
      </w:r>
      <w:r>
        <w:rPr>
          <w:rFonts w:ascii="??" w:hAnsi="??"/>
          <w:sz w:val="28"/>
          <w:szCs w:val="28"/>
        </w:rPr>
        <w:t xml:space="preserve">                            </w:t>
      </w:r>
      <w:r>
        <w:rPr>
          <w:rFonts w:hint="eastAsia" w:ascii="宋体" w:hAnsi="宋体" w:cs="宋体"/>
          <w:sz w:val="28"/>
          <w:szCs w:val="28"/>
        </w:rPr>
        <w:t>分管领导：</w:t>
      </w:r>
    </w:p>
    <w:p/>
    <w:sectPr>
      <w:footerReference r:id="rId9" w:type="default"/>
      <w:pgSz w:w="16838" w:h="11906" w:orient="landscape"/>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19</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7"/>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19</w:t>
                    </w:r>
                    <w:r>
                      <w:rPr>
                        <w:sz w:val="24"/>
                      </w:rPr>
                      <w:fldChar w:fldCharType="end"/>
                    </w:r>
                    <w:r>
                      <w:rPr>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22</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7"/>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22</w:t>
                    </w:r>
                    <w:r>
                      <w:rPr>
                        <w:sz w:val="24"/>
                      </w:rPr>
                      <w:fldChar w:fldCharType="end"/>
                    </w:r>
                    <w:r>
                      <w:rPr>
                        <w:sz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7D79159E"/>
    <w:rsid w:val="7D79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basedOn w:val="3"/>
    <w:semiHidden/>
    <w:qFormat/>
    <w:uiPriority w:val="99"/>
    <w:pPr>
      <w:ind w:firstLine="420"/>
    </w:pPr>
  </w:style>
  <w:style w:type="paragraph" w:customStyle="1" w:styleId="3">
    <w:name w:val="BodyTextIndent"/>
    <w:basedOn w:val="1"/>
    <w:semiHidden/>
    <w:uiPriority w:val="99"/>
    <w:pPr>
      <w:widowControl/>
      <w:spacing w:after="120"/>
      <w:ind w:left="420" w:leftChars="200"/>
      <w:textAlignment w:val="baseline"/>
    </w:pPr>
  </w:style>
  <w:style w:type="paragraph" w:styleId="4">
    <w:name w:val="Normal Indent"/>
    <w:basedOn w:val="1"/>
    <w:next w:val="1"/>
    <w:qFormat/>
    <w:uiPriority w:val="99"/>
    <w:pPr>
      <w:ind w:firstLine="420" w:firstLineChars="200"/>
    </w:pPr>
    <w:rPr>
      <w:rFonts w:eastAsia="仿宋"/>
    </w:rPr>
  </w:style>
  <w:style w:type="paragraph" w:styleId="5">
    <w:name w:val="Body Text"/>
    <w:basedOn w:val="1"/>
    <w:next w:val="1"/>
    <w:qFormat/>
    <w:uiPriority w:val="99"/>
    <w:rPr>
      <w:rFonts w:ascii="方正仿宋_GBK" w:hAnsi="方正仿宋_GBK" w:eastAsia="方正仿宋_GBK" w:cs="方正仿宋_GBK"/>
      <w:sz w:val="32"/>
      <w:szCs w:val="32"/>
      <w:lang w:val="zh-CN"/>
    </w:rPr>
  </w:style>
  <w:style w:type="paragraph" w:styleId="6">
    <w:name w:val="Body Text Indent"/>
    <w:basedOn w:val="1"/>
    <w:next w:val="4"/>
    <w:qFormat/>
    <w:uiPriority w:val="99"/>
    <w:pPr>
      <w:spacing w:after="120"/>
      <w:ind w:left="420" w:leftChars="2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paragraph" w:styleId="10">
    <w:name w:val="Body Text First Indent 2"/>
    <w:basedOn w:val="6"/>
    <w:next w:val="1"/>
    <w:qFormat/>
    <w:uiPriority w:val="99"/>
    <w:pPr>
      <w:spacing w:after="0"/>
      <w:ind w:left="855" w:leftChars="0" w:firstLine="420" w:firstLineChars="200"/>
    </w:pPr>
    <w:rPr>
      <w:rFonts w:ascii="Calibri" w:hAnsi="Calibri"/>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2023-01-03T03:17:00Z</dcterms:created>
  <dc:creator>WPS_1505519052</dc:creator>
  <cp:lastModifiedBy>WPS_1505519052</cp:lastModifiedBy>
  <dcterms:modified xsi:type="dcterms:W3CDTF">2023-01-03T03:17:24Z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89D3C3F2D28E42E39E96942331DA3B14</vt:lpwstr>
  </property>
</Properties>
</file>