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44" w:beforeLines="50" w:after="144" w:afterLines="50" w:line="60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color w:val="000000"/>
          <w:kern w:val="0"/>
          <w:sz w:val="44"/>
          <w:szCs w:val="44"/>
        </w:rPr>
        <w:t>黑林镇宾馆旅店风险隐患百日攻坚行动</w:t>
      </w:r>
    </w:p>
    <w:p>
      <w:pPr>
        <w:keepNext w:val="0"/>
        <w:keepLines w:val="0"/>
        <w:pageBreakBefore w:val="0"/>
        <w:widowControl w:val="0"/>
        <w:kinsoku/>
        <w:wordWrap/>
        <w:overflowPunct/>
        <w:topLinePunct w:val="0"/>
        <w:autoSpaceDE/>
        <w:autoSpaceDN/>
        <w:bidi w:val="0"/>
        <w:adjustRightInd/>
        <w:snapToGrid/>
        <w:spacing w:before="144" w:beforeLines="50" w:after="144" w:afterLines="50" w:line="6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为认真贯彻落实区安委会对宾馆旅店开展风险隐患百日攻坚行动的工作部署，经</w:t>
      </w:r>
      <w:r>
        <w:rPr>
          <w:rFonts w:hint="eastAsia" w:ascii="仿宋_GB2312" w:hAnsi="仿宋_GB2312" w:eastAsia="仿宋_GB2312" w:cs="仿宋_GB2312"/>
          <w:color w:val="000000"/>
          <w:kern w:val="0"/>
          <w:sz w:val="32"/>
          <w:szCs w:val="32"/>
          <w:lang w:val="en-US" w:eastAsia="zh-CN"/>
        </w:rPr>
        <w:t>镇</w:t>
      </w:r>
      <w:r>
        <w:rPr>
          <w:rFonts w:hint="eastAsia" w:ascii="仿宋_GB2312" w:hAnsi="仿宋_GB2312" w:eastAsia="仿宋_GB2312" w:cs="仿宋_GB2312"/>
          <w:color w:val="000000"/>
          <w:kern w:val="0"/>
          <w:sz w:val="32"/>
          <w:szCs w:val="32"/>
        </w:rPr>
        <w:t>党委政府研究，现制定实施方案如下：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kern w:val="0"/>
          <w:sz w:val="32"/>
          <w:szCs w:val="32"/>
        </w:rPr>
        <w:t xml:space="preserve">一、组织领导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镇政府成立宾馆旅店风险隐患百日攻坚行动领导小组，领导小组办公室设在镇安委办，具体负责全镇宾馆旅店风险隐患百日攻坚行动实施、统筹协调等工作。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二、检查范围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全镇范围内宾馆旅店、民宿场所等。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三、检查内容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针对宾馆旅店用火用电、安全疏散、消防设施、员工培训、应急处置等方面消防安全突出问题，重点整治下列</w:t>
      </w:r>
      <w:r>
        <w:rPr>
          <w:rFonts w:hint="eastAsia" w:ascii="仿宋_GB2312" w:hAnsi="仿宋_GB2312" w:eastAsia="仿宋_GB2312" w:cs="仿宋_GB2312"/>
          <w:kern w:val="0"/>
          <w:sz w:val="32"/>
          <w:szCs w:val="32"/>
        </w:rPr>
        <w:t>7</w:t>
      </w:r>
      <w:r>
        <w:rPr>
          <w:rFonts w:hint="eastAsia" w:ascii="仿宋_GB2312" w:hAnsi="仿宋_GB2312" w:eastAsia="仿宋_GB2312" w:cs="仿宋_GB2312"/>
          <w:color w:val="000000"/>
          <w:kern w:val="0"/>
          <w:sz w:val="32"/>
          <w:szCs w:val="32"/>
        </w:rPr>
        <w:t>类情形：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（一）规划设计方面。</w:t>
      </w:r>
      <w:r>
        <w:rPr>
          <w:rFonts w:hint="eastAsia" w:ascii="仿宋_GB2312" w:hAnsi="仿宋_GB2312" w:eastAsia="仿宋_GB2312" w:cs="仿宋_GB2312"/>
          <w:color w:val="000000"/>
          <w:kern w:val="0"/>
          <w:sz w:val="32"/>
          <w:szCs w:val="32"/>
        </w:rPr>
        <w:t>安全出口、疏散楼梯数量和标准不符合相关要求。报警设备安装不到位或未完全发挥作用。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楷体_GB2312" w:hAnsi="楷体_GB2312" w:eastAsia="楷体_GB2312" w:cs="楷体_GB2312"/>
          <w:color w:val="000000"/>
          <w:kern w:val="0"/>
          <w:sz w:val="32"/>
          <w:szCs w:val="32"/>
        </w:rPr>
        <w:t>（二）疏散通道方面。</w:t>
      </w:r>
      <w:r>
        <w:rPr>
          <w:rFonts w:hint="eastAsia" w:ascii="仿宋_GB2312" w:hAnsi="仿宋_GB2312" w:eastAsia="仿宋_GB2312" w:cs="仿宋_GB2312"/>
          <w:color w:val="000000"/>
          <w:kern w:val="0"/>
          <w:sz w:val="32"/>
          <w:szCs w:val="32"/>
        </w:rPr>
        <w:t>存在违规锁闭、封堵、占用、堵塞安全出口、疏散通道，疏散通道不具备保障人员安全逃生的条件，外墙门窗设置影响人员疏散和灭火救援的障碍物，高层宾馆、旅馆客房未配备火灾逃生避难器材</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（三）安装标准方面。</w:t>
      </w:r>
      <w:r>
        <w:rPr>
          <w:rFonts w:hint="eastAsia" w:ascii="仿宋_GB2312" w:hAnsi="仿宋_GB2312" w:eastAsia="仿宋_GB2312" w:cs="仿宋_GB2312"/>
          <w:color w:val="000000"/>
          <w:kern w:val="0"/>
          <w:sz w:val="32"/>
          <w:szCs w:val="32"/>
        </w:rPr>
        <w:t>电器产品、燃气用具的安装、使用及其线路、管路的敷设、室内装修材料等存在不符合消防技术标准和管理规定的情况。电动自行车集中停放场所选用</w:t>
      </w:r>
      <w:r>
        <w:rPr>
          <w:rFonts w:hint="eastAsia" w:ascii="仿宋_GB2312" w:hAnsi="仿宋_GB2312" w:eastAsia="仿宋_GB2312" w:cs="仿宋_GB2312"/>
          <w:sz w:val="32"/>
          <w:szCs w:val="32"/>
        </w:rPr>
        <w:t>易燃可燃材料，未与周边建筑保持一定的防火间距，未按规定设置防火隔离措施。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（四）消防器材方面。</w:t>
      </w:r>
      <w:r>
        <w:rPr>
          <w:rFonts w:hint="eastAsia" w:ascii="仿宋_GB2312" w:hAnsi="仿宋_GB2312" w:eastAsia="仿宋_GB2312" w:cs="仿宋_GB2312"/>
          <w:color w:val="000000"/>
          <w:kern w:val="0"/>
          <w:sz w:val="32"/>
          <w:szCs w:val="32"/>
        </w:rPr>
        <w:t>消防设施、器材不能保持完好有效，室内消火栓、自动喷水灭火系统管网水压不符合要求。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（五）违规用电等方面。</w:t>
      </w:r>
      <w:r>
        <w:rPr>
          <w:rFonts w:hint="eastAsia" w:ascii="仿宋_GB2312" w:hAnsi="仿宋_GB2312" w:eastAsia="仿宋_GB2312" w:cs="仿宋_GB2312"/>
          <w:color w:val="000000"/>
          <w:kern w:val="0"/>
          <w:sz w:val="32"/>
          <w:szCs w:val="32"/>
        </w:rPr>
        <w:t>违章用火、用电、用气、用油，未定期清洗排油烟管道；电动自行车或其蓄电池在建筑内违规停放或充电，未</w:t>
      </w:r>
      <w:r>
        <w:rPr>
          <w:rFonts w:hint="eastAsia" w:ascii="仿宋_GB2312" w:hAnsi="仿宋_GB2312" w:eastAsia="仿宋_GB2312" w:cs="仿宋_GB2312"/>
          <w:sz w:val="32"/>
          <w:szCs w:val="32"/>
          <w:lang w:val="en-GB"/>
        </w:rPr>
        <w:t>纳入日常消防管理，未落实</w:t>
      </w:r>
      <w:r>
        <w:rPr>
          <w:rFonts w:hint="eastAsia" w:ascii="仿宋_GB2312" w:hAnsi="仿宋_GB2312" w:eastAsia="仿宋_GB2312" w:cs="仿宋_GB2312"/>
          <w:sz w:val="32"/>
          <w:szCs w:val="32"/>
        </w:rPr>
        <w:t>夜间人走断电等安全用电要求；</w:t>
      </w:r>
      <w:r>
        <w:rPr>
          <w:rFonts w:hint="eastAsia" w:ascii="仿宋_GB2312" w:hAnsi="仿宋_GB2312" w:eastAsia="仿宋_GB2312" w:cs="仿宋_GB2312"/>
          <w:color w:val="000000"/>
          <w:kern w:val="0"/>
          <w:sz w:val="32"/>
          <w:szCs w:val="32"/>
        </w:rPr>
        <w:t>宾馆旅店内部电路凌乱，老化、破损后未能及时更换，配电间堆放可燃物，违章动火现象时有发生。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（六）安全意识方面。</w:t>
      </w:r>
      <w:r>
        <w:rPr>
          <w:rFonts w:hint="eastAsia" w:ascii="仿宋_GB2312" w:hAnsi="仿宋_GB2312" w:eastAsia="仿宋_GB2312" w:cs="仿宋_GB2312"/>
          <w:color w:val="000000"/>
          <w:kern w:val="0"/>
          <w:sz w:val="32"/>
          <w:szCs w:val="32"/>
        </w:rPr>
        <w:t>经营业主消防安全意识淡薄，没有组织开展全员尤其是新员工消防安全教育和培训，员工不能熟练掌握“一懂三会”（懂得所在场所火灾危险性、会报警、会引导疏散逃生、会扑救初起火灾）。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（七）应急预警及日常监管方面。</w:t>
      </w:r>
      <w:r>
        <w:rPr>
          <w:rFonts w:hint="eastAsia" w:ascii="仿宋_GB2312" w:hAnsi="仿宋_GB2312" w:eastAsia="仿宋_GB2312" w:cs="仿宋_GB2312"/>
          <w:color w:val="000000"/>
          <w:kern w:val="0"/>
          <w:sz w:val="32"/>
          <w:szCs w:val="32"/>
        </w:rPr>
        <w:t>没有制定针对性应急预案并组织定期演练。重点场所没有按照标准建立微型消防站或志愿消防队。消防控制室不能严格落实双人24小时值班制度，值班人员不能熟练掌握应急处置程序要求。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四、任务分工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派出所、消防站负责检查三级消防安全重点单位以及日常消防监督检查范围内的单位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宣传办牵头开展民宿场所联合检查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综合行政</w:t>
      </w:r>
      <w:r>
        <w:rPr>
          <w:rFonts w:hint="eastAsia" w:ascii="仿宋_GB2312" w:hAnsi="仿宋_GB2312" w:eastAsia="仿宋_GB2312" w:cs="仿宋_GB2312"/>
          <w:color w:val="000000"/>
          <w:kern w:val="0"/>
          <w:sz w:val="32"/>
          <w:szCs w:val="32"/>
        </w:rPr>
        <w:t>执法局负责检查房屋安全、燃气使用安全、户外广告等临时设施堵塞逃生通道，违章搭建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供电所</w:t>
      </w:r>
      <w:r>
        <w:rPr>
          <w:rFonts w:hint="eastAsia" w:ascii="仿宋_GB2312" w:hAnsi="仿宋_GB2312" w:eastAsia="仿宋_GB2312" w:cs="仿宋_GB2312"/>
          <w:color w:val="000000"/>
          <w:kern w:val="0"/>
          <w:sz w:val="32"/>
          <w:szCs w:val="32"/>
        </w:rPr>
        <w:t>负责检查乱接电线、飞线充电</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安监</w:t>
      </w:r>
      <w:r>
        <w:rPr>
          <w:rFonts w:hint="eastAsia" w:ascii="仿宋_GB2312" w:hAnsi="仿宋_GB2312" w:eastAsia="仿宋_GB2312" w:cs="仿宋_GB2312"/>
          <w:color w:val="000000"/>
          <w:kern w:val="0"/>
          <w:sz w:val="32"/>
          <w:szCs w:val="32"/>
          <w:lang w:val="en-US" w:eastAsia="zh-CN"/>
        </w:rPr>
        <w:t>所</w:t>
      </w:r>
      <w:r>
        <w:rPr>
          <w:rFonts w:hint="eastAsia" w:ascii="仿宋_GB2312" w:hAnsi="仿宋_GB2312" w:eastAsia="仿宋_GB2312" w:cs="仿宋_GB2312"/>
          <w:color w:val="000000"/>
          <w:kern w:val="0"/>
          <w:sz w:val="32"/>
          <w:szCs w:val="32"/>
        </w:rPr>
        <w:t>负责检查是否存在违规使用闪点低于60℃的醇基燃料等新型燃料。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五、时序安排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全镇宾馆旅店风险隐患百日攻坚行动在</w:t>
      </w:r>
      <w:r>
        <w:rPr>
          <w:rFonts w:hint="eastAsia" w:ascii="仿宋_GB2312" w:hAnsi="仿宋_GB2312" w:eastAsia="仿宋_GB2312" w:cs="仿宋_GB2312"/>
          <w:color w:val="000000"/>
          <w:kern w:val="0"/>
          <w:sz w:val="32"/>
          <w:szCs w:val="32"/>
          <w:lang w:val="en-US" w:eastAsia="zh-CN"/>
        </w:rPr>
        <w:t>镇</w:t>
      </w:r>
      <w:r>
        <w:rPr>
          <w:rFonts w:hint="eastAsia" w:ascii="仿宋_GB2312" w:hAnsi="仿宋_GB2312" w:eastAsia="仿宋_GB2312" w:cs="仿宋_GB2312"/>
          <w:color w:val="000000"/>
          <w:kern w:val="0"/>
          <w:sz w:val="32"/>
          <w:szCs w:val="32"/>
        </w:rPr>
        <w:t>党委、政府的统一领导下，制定具体实施方案，统筹抓好落实，从2023年4月6日开始，到7月8日结束，具体分三个步骤实施：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（一）动员部署阶段（4月6日—4月8日）。</w:t>
      </w:r>
      <w:r>
        <w:rPr>
          <w:rFonts w:hint="eastAsia" w:ascii="仿宋_GB2312" w:hAnsi="仿宋_GB2312" w:eastAsia="仿宋_GB2312" w:cs="仿宋_GB2312"/>
          <w:color w:val="000000"/>
          <w:kern w:val="0"/>
          <w:sz w:val="32"/>
          <w:szCs w:val="32"/>
        </w:rPr>
        <w:t>制定本辖区宾馆旅店风险隐患百日攻坚行动实施方案，各相关单位明确工作重点，明确责任分工，明确推进措施，确保上下联动、形成合力。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（二）集中攻坚阶段（4月9日—7月1日）。</w:t>
      </w:r>
      <w:r>
        <w:rPr>
          <w:rFonts w:hint="eastAsia" w:ascii="仿宋_GB2312" w:hAnsi="仿宋_GB2312" w:eastAsia="仿宋_GB2312" w:cs="仿宋_GB2312"/>
          <w:color w:val="000000"/>
          <w:kern w:val="0"/>
          <w:sz w:val="32"/>
          <w:szCs w:val="32"/>
        </w:rPr>
        <w:t>各相关单位根据职责分工对本领域宾馆旅店开展“全覆盖”排查，列出宾馆旅店清单目录，对排查出的重大隐患，按照“一患一策”要求，对照整改标准，督办、销号，分类处置到位。百日攻坚行动领导小组办公室组织开展综合督查，对百日攻坚行动开展情况进行督导检查，重点检查工作部署、问题隐患排查检查和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（三）总结阶段（7月2日—7月8日）。</w:t>
      </w:r>
      <w:r>
        <w:rPr>
          <w:rFonts w:hint="eastAsia" w:ascii="仿宋_GB2312" w:hAnsi="仿宋_GB2312" w:eastAsia="仿宋_GB2312" w:cs="仿宋_GB2312"/>
          <w:color w:val="000000"/>
          <w:kern w:val="0"/>
          <w:sz w:val="32"/>
          <w:szCs w:val="32"/>
        </w:rPr>
        <w:t>全面总结百日攻坚行动工作情况，及时报送百日攻坚行动领导小组办公室。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xml:space="preserve">六、工作要求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（一）提高政治站位，夯实安全责任。</w:t>
      </w:r>
      <w:r>
        <w:rPr>
          <w:rFonts w:hint="eastAsia" w:ascii="仿宋_GB2312" w:hAnsi="仿宋_GB2312" w:eastAsia="仿宋_GB2312" w:cs="仿宋_GB2312"/>
          <w:color w:val="000000"/>
          <w:kern w:val="0"/>
          <w:sz w:val="32"/>
          <w:szCs w:val="32"/>
        </w:rPr>
        <w:t>落实属地管理责任和部门监管责任，充分发挥职能作用，充分发动村网格监管力量，着力构建齐抓共管工作格局。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（二）迅速开展排查，抓紧消除隐患。</w:t>
      </w:r>
      <w:r>
        <w:rPr>
          <w:rFonts w:hint="eastAsia" w:ascii="仿宋_GB2312" w:hAnsi="仿宋_GB2312" w:eastAsia="仿宋_GB2312" w:cs="仿宋_GB2312"/>
          <w:color w:val="000000"/>
          <w:kern w:val="0"/>
          <w:sz w:val="32"/>
          <w:szCs w:val="32"/>
        </w:rPr>
        <w:t>要对小型宾馆旅店进行拉网式排查，全面摸清辖区内宾馆旅店底数，掌握突出问题，建立问题隐患清单。对存在安全风险的，要快查快改、限时整改、对账销号，并防止类似隐患反复出现，完善整改措施清单和销号清单；对存在严重隐患的，要立即责令停业整顿；对因房屋构造、质量等原因无法整改的，坚决予以关停取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（三）充实基层力量，提升监管能力。</w:t>
      </w:r>
      <w:r>
        <w:rPr>
          <w:rFonts w:hint="eastAsia" w:ascii="仿宋_GB2312" w:hAnsi="仿宋_GB2312" w:eastAsia="仿宋_GB2312" w:cs="仿宋_GB2312"/>
          <w:color w:val="000000"/>
          <w:kern w:val="0"/>
          <w:sz w:val="32"/>
          <w:szCs w:val="32"/>
        </w:rPr>
        <w:t>加强基层消防队伍建设，结合实际充实专业消防人员力量，加强业务培训和训练演练。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kern w:val="0"/>
          <w:sz w:val="32"/>
          <w:szCs w:val="32"/>
        </w:rPr>
        <w:t>（四）加强宣传教育，普及消防知识。</w:t>
      </w:r>
      <w:r>
        <w:rPr>
          <w:rFonts w:hint="eastAsia" w:ascii="仿宋_GB2312" w:hAnsi="仿宋_GB2312" w:eastAsia="仿宋_GB2312" w:cs="仿宋_GB2312"/>
          <w:color w:val="000000"/>
          <w:kern w:val="0"/>
          <w:sz w:val="32"/>
          <w:szCs w:val="32"/>
        </w:rPr>
        <w:t>将消防法律法规和消防安全知识的宣传教育纳入普法教育之中，在宾馆旅店集中区域开设消防教育专栏。结合消防安全“四个能力”建设，组织宾馆旅店经营人员开展隐患自查自除，切实提升经营者的自我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（五）强化工作宣传和信息报送。</w:t>
      </w:r>
      <w:r>
        <w:rPr>
          <w:rFonts w:hint="eastAsia" w:ascii="仿宋_GB2312" w:hAnsi="仿宋_GB2312" w:eastAsia="仿宋_GB2312" w:cs="仿宋_GB2312"/>
          <w:color w:val="000000"/>
          <w:kern w:val="0"/>
          <w:sz w:val="32"/>
          <w:szCs w:val="32"/>
        </w:rPr>
        <w:t>充分发挥宣传引导和舆论监督作用，加大宣传力度，落实有奖举报，定期曝光问题隐患突出单位，强化震慑警示。配齐配强专班力量，健全完善定期调度、信息报送和保密工作等制度，各相关单位每周三下午下班前报送本周的工作信息，每月1日前报送上月度总结；7月7日前报送百日攻坚行动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联系人：高希峰</w:t>
      </w: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联系方式：15705191972</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"mailto:hlzajsxdq@163.com。" </w:instrText>
      </w:r>
      <w:r>
        <w:rPr>
          <w:rFonts w:hint="eastAsia" w:ascii="仿宋_GB2312" w:hAnsi="仿宋_GB2312" w:eastAsia="仿宋_GB2312" w:cs="仿宋_GB2312"/>
          <w:color w:val="000000"/>
          <w:kern w:val="0"/>
          <w:sz w:val="32"/>
          <w:szCs w:val="32"/>
        </w:rPr>
        <w:fldChar w:fldCharType="separate"/>
      </w:r>
      <w:r>
        <w:rPr>
          <w:rStyle w:val="10"/>
          <w:rFonts w:hint="eastAsia" w:ascii="仿宋_GB2312" w:hAnsi="仿宋_GB2312" w:eastAsia="仿宋_GB2312" w:cs="仿宋_GB2312"/>
          <w:kern w:val="0"/>
          <w:sz w:val="32"/>
          <w:szCs w:val="32"/>
        </w:rPr>
        <w:t>hlzajsxdq@163.com。</w:t>
      </w:r>
      <w:r>
        <w:rPr>
          <w:rFonts w:hint="eastAsia" w:ascii="仿宋_GB2312" w:hAnsi="仿宋_GB2312" w:eastAsia="仿宋_GB2312" w:cs="仿宋_GB2312"/>
          <w:color w:val="000000"/>
          <w:kern w:val="0"/>
          <w:sz w:val="32"/>
          <w:szCs w:val="32"/>
        </w:rPr>
        <w:fldChar w:fldCharType="end"/>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cs="仿宋_GB2312"/>
          <w:color w:val="000000"/>
          <w:kern w:val="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eastAsia="仿宋_GB2312"/>
          <w:lang w:val="en-US" w:eastAsia="zh-CN"/>
        </w:rPr>
        <w:sectPr>
          <w:headerReference r:id="rId3" w:type="default"/>
          <w:footerReference r:id="rId4" w:type="default"/>
          <w:pgSz w:w="11910" w:h="16840"/>
          <w:pgMar w:top="1417" w:right="1587" w:bottom="1417" w:left="1587" w:header="720" w:footer="720" w:gutter="0"/>
          <w:pgNumType w:fmt="decimal"/>
          <w:cols w:space="0" w:num="1"/>
          <w:rtlGutter w:val="0"/>
          <w:docGrid w:linePitch="286" w:charSpace="0"/>
        </w:sectPr>
      </w:pPr>
      <w:r>
        <w:rPr>
          <w:rFonts w:hint="eastAsia" w:cs="仿宋_GB2312"/>
          <w:color w:val="000000"/>
          <w:kern w:val="0"/>
          <w:sz w:val="32"/>
          <w:szCs w:val="32"/>
          <w:lang w:val="en-US" w:eastAsia="zh-CN"/>
        </w:rPr>
        <w:t>附件：黑林镇宾馆旅店风险隐患百日攻坚行动领导小组</w:t>
      </w:r>
    </w:p>
    <w:p>
      <w:pPr>
        <w:pStyle w:val="2"/>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val="0"/>
        <w:autoSpaceDN w:val="0"/>
        <w:bidi w:val="0"/>
        <w:adjustRightInd/>
        <w:snapToGrid/>
        <w:spacing w:before="144" w:beforeLines="50" w:after="144" w:afterLines="50" w:line="60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黑林镇宾馆旅店风险隐患百日攻坚行动领导小组</w:t>
      </w:r>
    </w:p>
    <w:p>
      <w:pPr>
        <w:spacing w:line="560" w:lineRule="exact"/>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谌廷纯   党委书记</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韦婕妤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党委副书记、镇长</w:t>
      </w:r>
    </w:p>
    <w:p>
      <w:pPr>
        <w:tabs>
          <w:tab w:val="left" w:pos="2100"/>
        </w:tabs>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组长</w:t>
      </w:r>
      <w:r>
        <w:rPr>
          <w:rFonts w:hint="eastAsia" w:ascii="仿宋_GB2312" w:hAnsi="仿宋_GB2312" w:eastAsia="仿宋_GB2312" w:cs="仿宋_GB2312"/>
          <w:sz w:val="32"/>
          <w:szCs w:val="32"/>
        </w:rPr>
        <w:t xml:space="preserve">:   程中祥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人大主席</w:t>
      </w:r>
    </w:p>
    <w:p>
      <w:pPr>
        <w:tabs>
          <w:tab w:val="left" w:pos="2100"/>
        </w:tabs>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侍崇</w:t>
      </w:r>
      <w:r>
        <w:rPr>
          <w:rFonts w:hint="eastAsia" w:ascii="仿宋_GB2312" w:hAnsi="仿宋_GB2312" w:eastAsia="仿宋_GB2312" w:cs="仿宋_GB2312"/>
          <w:sz w:val="32"/>
          <w:szCs w:val="32"/>
          <w:lang w:val="en-US" w:eastAsia="zh-CN"/>
        </w:rPr>
        <w:t>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党委副书记、统战委员</w:t>
      </w:r>
    </w:p>
    <w:p>
      <w:pPr>
        <w:tabs>
          <w:tab w:val="left" w:pos="2100"/>
        </w:tabs>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颜景杰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纪委书记</w:t>
      </w:r>
    </w:p>
    <w:p>
      <w:pPr>
        <w:tabs>
          <w:tab w:val="left" w:pos="2100"/>
        </w:tabs>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闫  华  </w:t>
      </w:r>
      <w:r>
        <w:rPr>
          <w:rFonts w:hint="eastAsia" w:ascii="仿宋_GB2312" w:hAnsi="仿宋_GB2312" w:eastAsia="仿宋_GB2312" w:cs="仿宋_GB2312"/>
          <w:sz w:val="32"/>
          <w:szCs w:val="32"/>
          <w:lang w:val="en-US" w:eastAsia="zh-CN"/>
        </w:rPr>
        <w:t xml:space="preserve"> 党委委员、</w:t>
      </w:r>
      <w:r>
        <w:rPr>
          <w:rFonts w:hint="eastAsia" w:ascii="仿宋_GB2312" w:hAnsi="仿宋_GB2312" w:eastAsia="仿宋_GB2312" w:cs="仿宋_GB2312"/>
          <w:sz w:val="32"/>
          <w:szCs w:val="32"/>
        </w:rPr>
        <w:t>副镇长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  哲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谭斌兴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spacing w:line="560" w:lineRule="exact"/>
        <w:ind w:firstLine="2560" w:firstLineChars="800"/>
        <w:rPr>
          <w:rFonts w:hint="default" w:eastAsia="仿宋_GB2312"/>
          <w:lang w:val="en-US" w:eastAsia="zh-CN"/>
        </w:rPr>
      </w:pPr>
      <w:r>
        <w:rPr>
          <w:rFonts w:hint="eastAsia" w:ascii="仿宋_GB2312" w:hAnsi="仿宋_GB2312" w:eastAsia="仿宋_GB2312" w:cs="仿宋_GB2312"/>
          <w:sz w:val="32"/>
          <w:szCs w:val="32"/>
          <w:lang w:val="en-US" w:eastAsia="zh-CN"/>
        </w:rPr>
        <w:t>蒋志超   副镇长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组织委员</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  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宣传委员、财政所所长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董  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政法委员</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于  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党委委员、武装部部长</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  </w:t>
      </w:r>
      <w:r>
        <w:rPr>
          <w:rFonts w:hint="eastAsia" w:ascii="仿宋_GB2312" w:hAnsi="仿宋_GB2312" w:eastAsia="仿宋_GB2312" w:cs="仿宋_GB2312"/>
          <w:sz w:val="32"/>
          <w:szCs w:val="32"/>
          <w:lang w:val="en-US" w:eastAsia="zh-CN"/>
        </w:rPr>
        <w:t>武宜金</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派出所所长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徐大青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安监所负责人</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秦君泗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供电所所长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李怀峰  </w:t>
      </w:r>
      <w:r>
        <w:rPr>
          <w:rFonts w:hint="eastAsia" w:ascii="仿宋_GB2312" w:hAnsi="仿宋_GB2312" w:eastAsia="仿宋_GB2312" w:cs="仿宋_GB2312"/>
          <w:sz w:val="32"/>
          <w:szCs w:val="32"/>
          <w:lang w:val="en-US" w:eastAsia="zh-CN"/>
        </w:rPr>
        <w:t xml:space="preserve"> 镇</w:t>
      </w:r>
      <w:r>
        <w:rPr>
          <w:rFonts w:hint="eastAsia" w:ascii="仿宋_GB2312" w:hAnsi="仿宋_GB2312" w:eastAsia="仿宋_GB2312" w:cs="仿宋_GB2312"/>
          <w:sz w:val="32"/>
          <w:szCs w:val="32"/>
        </w:rPr>
        <w:t>综合行政执法局负责人</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王永慕</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厉庄</w:t>
      </w:r>
      <w:r>
        <w:rPr>
          <w:rFonts w:hint="eastAsia" w:ascii="仿宋_GB2312" w:hAnsi="仿宋_GB2312" w:eastAsia="仿宋_GB2312" w:cs="仿宋_GB2312"/>
          <w:sz w:val="32"/>
          <w:szCs w:val="32"/>
        </w:rPr>
        <w:t>分局局长</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刘家平  </w:t>
      </w:r>
      <w:r>
        <w:rPr>
          <w:rFonts w:hint="eastAsia" w:ascii="仿宋_GB2312" w:hAnsi="仿宋_GB2312" w:eastAsia="仿宋_GB2312" w:cs="仿宋_GB2312"/>
          <w:sz w:val="32"/>
          <w:szCs w:val="32"/>
          <w:lang w:val="en-US" w:eastAsia="zh-CN"/>
        </w:rPr>
        <w:t xml:space="preserve"> 镇</w:t>
      </w:r>
      <w:r>
        <w:rPr>
          <w:rFonts w:hint="eastAsia" w:ascii="仿宋_GB2312" w:hAnsi="仿宋_GB2312" w:eastAsia="仿宋_GB2312" w:cs="仿宋_GB2312"/>
          <w:sz w:val="32"/>
          <w:szCs w:val="32"/>
        </w:rPr>
        <w:t>文化站负责人</w:t>
      </w:r>
    </w:p>
    <w:p>
      <w:pPr>
        <w:spacing w:line="56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各村支部书记</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领导小组下设办公室，办公室设在镇安委办，由李政同志兼任办公室主任，负责日常工作事务协调。</w:t>
      </w:r>
    </w:p>
    <w:p/>
    <w:sectPr>
      <w:headerReference r:id="rId5" w:type="default"/>
      <w:footerReference r:id="rId6" w:type="default"/>
      <w:pgSz w:w="11910" w:h="16840"/>
      <w:pgMar w:top="1417" w:right="1587" w:bottom="1417" w:left="1587" w:header="720" w:footer="720" w:gutter="0"/>
      <w:pgNumType w:fmt="decimal"/>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605A2001"/>
    <w:rsid w:val="605A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autoSpaceDE w:val="0"/>
      <w:autoSpaceDN w:val="0"/>
      <w:jc w:val="left"/>
    </w:pPr>
    <w:rPr>
      <w:rFonts w:ascii="仿宋_GB2312" w:hAnsi="仿宋_GB2312" w:eastAsia="仿宋_GB2312" w:cs="仿宋_GB2312"/>
      <w:kern w:val="0"/>
      <w:sz w:val="32"/>
      <w:szCs w:val="32"/>
      <w:lang w:val="zh-CN"/>
    </w:rPr>
  </w:style>
  <w:style w:type="paragraph" w:styleId="3">
    <w:name w:val="Normal Indent"/>
    <w:basedOn w:val="1"/>
    <w:next w:val="1"/>
    <w:qFormat/>
    <w:uiPriority w:val="0"/>
    <w:pPr>
      <w:ind w:firstLine="420" w:firstLineChars="200"/>
    </w:pPr>
    <w:rPr>
      <w:rFonts w:ascii="Calibri" w:hAnsi="Calibri" w:eastAsia="仿宋" w:cs="Times New Roman"/>
    </w:rPr>
  </w:style>
  <w:style w:type="paragraph" w:styleId="4">
    <w:name w:val="Body Text Indent"/>
    <w:basedOn w:val="1"/>
    <w:next w:val="3"/>
    <w:semiHidden/>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unhideWhenUsed/>
    <w:qFormat/>
    <w:uiPriority w:val="99"/>
    <w:pPr>
      <w:ind w:firstLine="420" w:firstLineChars="200"/>
    </w:pPr>
    <w:rPr>
      <w:rFonts w:ascii="Calibri" w:hAnsi="Calibri"/>
    </w:rPr>
  </w:style>
  <w:style w:type="character" w:styleId="10">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2023-12-27T09:25:00Z</dcterms:created>
  <dc:creator>U</dc:creator>
  <cp:lastModifiedBy>U</cp:lastModifiedBy>
  <dcterms:modified xsi:type="dcterms:W3CDTF">2023-12-27T09:26:05Z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36AE8B5BFACC485E8B45A75D3DBE0E9C_11</vt:lpwstr>
  </property>
</Properties>
</file>