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81642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rPr>
      </w:pPr>
      <w:r>
        <w:rPr>
          <w:rFonts w:hint="eastAsia" w:ascii="方正小标宋简体" w:hAnsi="方正小标宋简体" w:eastAsia="方正小标宋简体" w:cs="方正小标宋简体"/>
          <w:b w:val="0"/>
          <w:bCs w:val="0"/>
          <w:sz w:val="44"/>
          <w:szCs w:val="21"/>
        </w:rPr>
        <w:t>连云港市赣榆区人民政府</w:t>
      </w:r>
    </w:p>
    <w:p w14:paraId="6F24132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方正小标宋简体" w:hAnsi="方正小标宋简体" w:eastAsia="方正小标宋简体" w:cs="方正小标宋简体"/>
          <w:b w:val="0"/>
          <w:bCs w:val="0"/>
          <w:sz w:val="44"/>
          <w:szCs w:val="21"/>
          <w:lang w:eastAsia="zh-CN"/>
        </w:rPr>
      </w:pPr>
      <w:r>
        <w:rPr>
          <w:rFonts w:hint="eastAsia" w:ascii="方正小标宋简体" w:hAnsi="方正小标宋简体" w:eastAsia="方正小标宋简体" w:cs="方正小标宋简体"/>
          <w:b w:val="0"/>
          <w:bCs w:val="0"/>
          <w:sz w:val="44"/>
          <w:szCs w:val="21"/>
          <w:lang w:eastAsia="zh-CN"/>
        </w:rPr>
        <w:t>驳回</w:t>
      </w:r>
      <w:r>
        <w:rPr>
          <w:rFonts w:hint="eastAsia" w:ascii="方正小标宋简体" w:hAnsi="方正小标宋简体" w:eastAsia="方正小标宋简体" w:cs="方正小标宋简体"/>
          <w:b w:val="0"/>
          <w:bCs w:val="0"/>
          <w:sz w:val="44"/>
          <w:szCs w:val="21"/>
        </w:rPr>
        <w:t>行政复议</w:t>
      </w:r>
      <w:r>
        <w:rPr>
          <w:rFonts w:hint="eastAsia" w:ascii="方正小标宋简体" w:hAnsi="方正小标宋简体" w:eastAsia="方正小标宋简体" w:cs="方正小标宋简体"/>
          <w:b w:val="0"/>
          <w:bCs w:val="0"/>
          <w:sz w:val="44"/>
          <w:szCs w:val="21"/>
          <w:lang w:eastAsia="zh-CN"/>
        </w:rPr>
        <w:t>申请</w:t>
      </w:r>
      <w:r>
        <w:rPr>
          <w:rFonts w:hint="eastAsia" w:ascii="方正小标宋简体" w:hAnsi="方正小标宋简体" w:eastAsia="方正小标宋简体" w:cs="方正小标宋简体"/>
          <w:b w:val="0"/>
          <w:bCs w:val="0"/>
          <w:sz w:val="44"/>
          <w:szCs w:val="21"/>
        </w:rPr>
        <w:t>决定书</w:t>
      </w:r>
    </w:p>
    <w:p w14:paraId="0020FE52">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仿宋_GB2312" w:cs="Times New Roman"/>
          <w:b/>
          <w:bCs/>
        </w:rPr>
      </w:pPr>
    </w:p>
    <w:p w14:paraId="34254333">
      <w:pPr>
        <w:keepNext w:val="0"/>
        <w:keepLines w:val="0"/>
        <w:pageBreakBefore w:val="0"/>
        <w:widowControl w:val="0"/>
        <w:kinsoku/>
        <w:wordWrap/>
        <w:overflowPunct/>
        <w:topLinePunct w:val="0"/>
        <w:autoSpaceDE/>
        <w:autoSpaceDN/>
        <w:bidi w:val="0"/>
        <w:adjustRightInd w:val="0"/>
        <w:snapToGrid w:val="0"/>
        <w:spacing w:line="560" w:lineRule="exact"/>
        <w:ind w:firstLine="3510"/>
        <w:jc w:val="right"/>
        <w:textAlignment w:val="auto"/>
        <w:rPr>
          <w:rFonts w:hint="eastAsia" w:ascii="Times New Roman" w:hAnsi="Times New Roman" w:eastAsia="仿宋_GB2312" w:cs="Times New Roman"/>
          <w:bCs/>
          <w:sz w:val="32"/>
          <w:szCs w:val="21"/>
        </w:rPr>
      </w:pPr>
      <w:r>
        <w:rPr>
          <w:rFonts w:hint="default" w:ascii="Times New Roman" w:hAnsi="Times New Roman" w:eastAsia="仿宋_GB2312" w:cs="Times New Roman"/>
          <w:bCs/>
          <w:sz w:val="32"/>
          <w:szCs w:val="21"/>
        </w:rPr>
        <w:t>〔202</w:t>
      </w:r>
      <w:r>
        <w:rPr>
          <w:rFonts w:hint="eastAsia" w:ascii="Times New Roman" w:hAnsi="Times New Roman" w:eastAsia="仿宋_GB2312" w:cs="Times New Roman"/>
          <w:bCs/>
          <w:sz w:val="32"/>
          <w:szCs w:val="21"/>
          <w:lang w:val="en-US" w:eastAsia="zh-CN"/>
        </w:rPr>
        <w:t>5</w:t>
      </w:r>
      <w:r>
        <w:rPr>
          <w:rFonts w:hint="default" w:ascii="Times New Roman" w:hAnsi="Times New Roman" w:eastAsia="仿宋_GB2312" w:cs="Times New Roman"/>
          <w:bCs/>
          <w:sz w:val="32"/>
          <w:szCs w:val="21"/>
        </w:rPr>
        <w:t>〕赣行复第</w:t>
      </w:r>
      <w:r>
        <w:rPr>
          <w:rFonts w:hint="eastAsia" w:ascii="Times New Roman" w:hAnsi="Times New Roman" w:eastAsia="仿宋_GB2312" w:cs="Times New Roman"/>
          <w:bCs/>
          <w:sz w:val="32"/>
          <w:szCs w:val="21"/>
          <w:lang w:val="en-US" w:eastAsia="zh-CN"/>
        </w:rPr>
        <w:t>308</w:t>
      </w:r>
      <w:r>
        <w:rPr>
          <w:rFonts w:hint="default" w:ascii="Times New Roman" w:hAnsi="Times New Roman" w:eastAsia="仿宋_GB2312" w:cs="Times New Roman"/>
          <w:bCs/>
          <w:sz w:val="32"/>
          <w:szCs w:val="21"/>
        </w:rPr>
        <w:t>号</w:t>
      </w:r>
    </w:p>
    <w:p w14:paraId="6E25FDF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rPr>
      </w:pPr>
    </w:p>
    <w:p w14:paraId="3226756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rPr>
        <w:t>申请人：</w:t>
      </w:r>
      <w:r>
        <w:rPr>
          <w:rFonts w:hint="eastAsia" w:ascii="Times New Roman" w:hAnsi="Times New Roman" w:eastAsia="仿宋_GB2312" w:cs="Times New Roman"/>
          <w:sz w:val="32"/>
          <w:lang w:val="en-US" w:eastAsia="zh-CN"/>
        </w:rPr>
        <w:t>李某。</w:t>
      </w:r>
    </w:p>
    <w:p w14:paraId="25DE4D63">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被申请人：连云港市赣榆区市场监督管理局。</w:t>
      </w:r>
    </w:p>
    <w:p w14:paraId="67D0201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Times New Roman" w:hAnsi="Times New Roman" w:eastAsia="仿宋_GB2312" w:cs="Times New Roman"/>
          <w:sz w:val="32"/>
          <w:lang w:val="en-US" w:eastAsia="zh-CN"/>
        </w:rPr>
      </w:pPr>
      <w:r>
        <w:rPr>
          <w:rFonts w:hint="eastAsia" w:ascii="Times New Roman" w:hAnsi="Times New Roman" w:eastAsia="仿宋_GB2312" w:cs="Times New Roman"/>
          <w:sz w:val="32"/>
          <w:lang w:val="en-US" w:eastAsia="zh-CN"/>
        </w:rPr>
        <w:t>申请人李某不服被申请人连云港市赣榆区市场监督管理局对投诉举报连云港某食品有限公司（以下称被投诉举报人）的处理，</w:t>
      </w:r>
      <w:r>
        <w:rPr>
          <w:rFonts w:hint="default" w:ascii="Times New Roman" w:hAnsi="Times New Roman" w:eastAsia="仿宋_GB2312" w:cs="Times New Roman"/>
          <w:sz w:val="32"/>
          <w:lang w:val="en-US" w:eastAsia="zh-CN"/>
        </w:rPr>
        <w:t>于2025年</w:t>
      </w:r>
      <w:r>
        <w:rPr>
          <w:rFonts w:hint="eastAsia" w:ascii="Times New Roman" w:hAnsi="Times New Roman" w:eastAsia="仿宋_GB2312" w:cs="Times New Roman"/>
          <w:sz w:val="32"/>
          <w:lang w:val="en-US" w:eastAsia="zh-CN"/>
        </w:rPr>
        <w:t>10</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27</w:t>
      </w:r>
      <w:r>
        <w:rPr>
          <w:rFonts w:hint="default" w:ascii="Times New Roman" w:hAnsi="Times New Roman" w:eastAsia="仿宋_GB2312" w:cs="Times New Roman"/>
          <w:sz w:val="32"/>
          <w:lang w:val="en-US" w:eastAsia="zh-CN"/>
        </w:rPr>
        <w:t>日向本机关申请行政复议，本机关于</w:t>
      </w:r>
      <w:r>
        <w:rPr>
          <w:rFonts w:hint="eastAsia" w:ascii="Times New Roman" w:hAnsi="Times New Roman" w:eastAsia="仿宋_GB2312" w:cs="Times New Roman"/>
          <w:sz w:val="32"/>
          <w:lang w:val="en-US" w:eastAsia="zh-CN"/>
        </w:rPr>
        <w:t>10</w:t>
      </w:r>
      <w:r>
        <w:rPr>
          <w:rFonts w:hint="default" w:ascii="Times New Roman" w:hAnsi="Times New Roman" w:eastAsia="仿宋_GB2312" w:cs="Times New Roman"/>
          <w:sz w:val="32"/>
          <w:lang w:val="en-US" w:eastAsia="zh-CN"/>
        </w:rPr>
        <w:t>月</w:t>
      </w:r>
      <w:r>
        <w:rPr>
          <w:rFonts w:hint="eastAsia" w:ascii="Times New Roman" w:hAnsi="Times New Roman" w:eastAsia="仿宋_GB2312" w:cs="Times New Roman"/>
          <w:sz w:val="32"/>
          <w:lang w:val="en-US" w:eastAsia="zh-CN"/>
        </w:rPr>
        <w:t>31</w:t>
      </w:r>
      <w:r>
        <w:rPr>
          <w:rFonts w:hint="default" w:ascii="Times New Roman" w:hAnsi="Times New Roman" w:eastAsia="仿宋_GB2312" w:cs="Times New Roman"/>
          <w:sz w:val="32"/>
          <w:lang w:val="en-US" w:eastAsia="zh-CN"/>
        </w:rPr>
        <w:t>日受理，并适用</w:t>
      </w:r>
      <w:r>
        <w:rPr>
          <w:rFonts w:hint="eastAsia" w:ascii="Times New Roman" w:hAnsi="Times New Roman" w:eastAsia="仿宋_GB2312" w:cs="Times New Roman"/>
          <w:sz w:val="32"/>
          <w:lang w:val="en-US" w:eastAsia="zh-CN"/>
        </w:rPr>
        <w:t>简易</w:t>
      </w:r>
      <w:r>
        <w:rPr>
          <w:rFonts w:hint="default" w:ascii="Times New Roman" w:hAnsi="Times New Roman" w:eastAsia="仿宋_GB2312" w:cs="Times New Roman"/>
          <w:sz w:val="32"/>
          <w:lang w:val="en-US" w:eastAsia="zh-CN"/>
        </w:rPr>
        <w:t>程序审理。被申请人在规定期限内向本机关提交了书面答复材料及证据材料。本案现已审理终结。</w:t>
      </w:r>
    </w:p>
    <w:p w14:paraId="6AACAF8C">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eastAsia" w:ascii="Times New Roman" w:hAnsi="Times New Roman" w:eastAsia="仿宋_GB2312" w:cs="Times New Roman"/>
          <w:b w:val="0"/>
          <w:bCs/>
          <w:sz w:val="32"/>
          <w:szCs w:val="21"/>
          <w:lang w:val="en-US" w:eastAsia="zh-CN"/>
        </w:rPr>
      </w:pPr>
      <w:r>
        <w:rPr>
          <w:rFonts w:hint="eastAsia" w:ascii="Times New Roman" w:hAnsi="Times New Roman" w:eastAsia="仿宋_GB2312" w:cs="Times New Roman"/>
          <w:b/>
          <w:bCs/>
          <w:sz w:val="32"/>
          <w:lang w:val="en-US" w:eastAsia="zh-CN"/>
        </w:rPr>
        <w:t>经审理查明：</w:t>
      </w:r>
      <w:r>
        <w:rPr>
          <w:rFonts w:hint="eastAsia" w:ascii="Times New Roman" w:hAnsi="Times New Roman" w:eastAsia="仿宋_GB2312" w:cs="Times New Roman"/>
          <w:b w:val="0"/>
          <w:bCs/>
          <w:sz w:val="32"/>
          <w:szCs w:val="21"/>
          <w:lang w:val="en-US" w:eastAsia="zh-CN"/>
        </w:rPr>
        <w:t>被申请人于2025年9月12日收到申请人邮寄的投诉举报书（XA9209309****），称其购买了被投诉举报人销售的烤虾，经查询，生产厂家无生产资质，诉</w:t>
      </w:r>
      <w:r>
        <w:rPr>
          <w:rFonts w:hint="default" w:ascii="Times New Roman" w:hAnsi="Times New Roman" w:eastAsia="仿宋_GB2312" w:cs="Times New Roman"/>
          <w:b w:val="0"/>
          <w:bCs/>
          <w:sz w:val="32"/>
          <w:szCs w:val="21"/>
          <w:lang w:val="en-US" w:eastAsia="zh-CN"/>
        </w:rPr>
        <w:t>求</w:t>
      </w:r>
      <w:r>
        <w:rPr>
          <w:rFonts w:hint="eastAsia" w:ascii="Times New Roman" w:hAnsi="Times New Roman" w:eastAsia="仿宋_GB2312" w:cs="Times New Roman"/>
          <w:b w:val="0"/>
          <w:bCs/>
          <w:sz w:val="32"/>
          <w:szCs w:val="21"/>
          <w:lang w:val="en-US" w:eastAsia="zh-CN"/>
        </w:rPr>
        <w:t>：赔偿、查处、奖励。</w:t>
      </w:r>
      <w:r>
        <w:rPr>
          <w:rFonts w:hint="eastAsia" w:ascii="Times New Roman" w:hAnsi="Times New Roman" w:eastAsia="仿宋_GB2312" w:cs="Times New Roman"/>
          <w:sz w:val="32"/>
          <w:lang w:val="en-US" w:eastAsia="zh-CN"/>
        </w:rPr>
        <w:t>被申请人依据《市场监督管理投诉举报处理暂行办法》第十四条的规定，于2025年9月22日受理该投诉，制作赣市监投受</w:t>
      </w:r>
      <w:r>
        <w:rPr>
          <w:rFonts w:hint="default" w:ascii="Times New Roman" w:hAnsi="Times New Roman" w:eastAsia="仿宋_GB2312" w:cs="Times New Roman"/>
          <w:b w:val="0"/>
          <w:bCs w:val="0"/>
          <w:sz w:val="32"/>
          <w:lang w:val="en-US" w:eastAsia="zh-CN"/>
        </w:rPr>
        <w:t>〔</w:t>
      </w:r>
      <w:r>
        <w:rPr>
          <w:rFonts w:hint="eastAsia" w:ascii="Times New Roman" w:hAnsi="Times New Roman" w:eastAsia="仿宋_GB2312" w:cs="Times New Roman"/>
          <w:b w:val="0"/>
          <w:bCs w:val="0"/>
          <w:sz w:val="32"/>
          <w:lang w:val="en-US" w:eastAsia="zh-CN"/>
        </w:rPr>
        <w:t>2025</w:t>
      </w:r>
      <w:r>
        <w:rPr>
          <w:rFonts w:hint="default" w:ascii="Times New Roman" w:hAnsi="Times New Roman" w:eastAsia="仿宋_GB2312" w:cs="Times New Roman"/>
          <w:b w:val="0"/>
          <w:bCs w:val="0"/>
          <w:sz w:val="32"/>
          <w:lang w:val="en-US" w:eastAsia="zh-CN"/>
        </w:rPr>
        <w:t>〕</w:t>
      </w:r>
      <w:r>
        <w:rPr>
          <w:rFonts w:hint="eastAsia" w:ascii="Times New Roman" w:hAnsi="Times New Roman" w:eastAsia="仿宋_GB2312" w:cs="Times New Roman"/>
          <w:b w:val="0"/>
          <w:bCs w:val="0"/>
          <w:sz w:val="32"/>
          <w:lang w:val="en-US" w:eastAsia="zh-CN"/>
        </w:rPr>
        <w:t>第Q092201号投诉受理决定书，同日通过邮箱告知申请人(接收邮箱账号：24534****@qq.com)。此前，被申请人于9月16日、9月17日、9月18日、9月19日通过翼企云平台短信联系申请人（接收号码：1531413****），均显示发送失败，于9月19日、9月22日工作时间段14次电话联系申请人均未接通（接收号码：1531413****）。</w:t>
      </w:r>
      <w:r>
        <w:rPr>
          <w:rFonts w:hint="eastAsia" w:ascii="Times New Roman" w:hAnsi="Times New Roman" w:eastAsia="仿宋_GB2312" w:cs="Times New Roman"/>
          <w:b w:val="0"/>
          <w:bCs/>
          <w:sz w:val="32"/>
          <w:szCs w:val="21"/>
          <w:lang w:val="en-US" w:eastAsia="zh-CN"/>
        </w:rPr>
        <w:t>申请人认为被申请人未履行投诉受理告知义务，遂提起行政复议。</w:t>
      </w:r>
    </w:p>
    <w:p w14:paraId="7553CFEB">
      <w:pPr>
        <w:keepNext w:val="0"/>
        <w:keepLines w:val="0"/>
        <w:pageBreakBefore w:val="0"/>
        <w:widowControl w:val="0"/>
        <w:kinsoku/>
        <w:wordWrap/>
        <w:overflowPunct/>
        <w:topLinePunct w:val="0"/>
        <w:autoSpaceDE/>
        <w:autoSpaceDN/>
        <w:bidi w:val="0"/>
        <w:adjustRightInd w:val="0"/>
        <w:snapToGrid w:val="0"/>
        <w:spacing w:line="560" w:lineRule="exact"/>
        <w:ind w:firstLine="610"/>
        <w:textAlignment w:val="auto"/>
        <w:rPr>
          <w:rFonts w:hint="default" w:ascii="Times New Roman" w:hAnsi="Times New Roman" w:eastAsia="仿宋_GB2312" w:cs="Times New Roman"/>
          <w:b w:val="0"/>
          <w:bCs/>
          <w:sz w:val="32"/>
          <w:szCs w:val="21"/>
          <w:lang w:val="en-US" w:eastAsia="zh-CN"/>
        </w:rPr>
      </w:pPr>
      <w:r>
        <w:rPr>
          <w:rFonts w:hint="default" w:ascii="Times New Roman" w:hAnsi="Times New Roman" w:eastAsia="仿宋_GB2312" w:cs="Times New Roman"/>
          <w:b w:val="0"/>
          <w:bCs/>
          <w:sz w:val="32"/>
          <w:szCs w:val="21"/>
          <w:lang w:val="en-US" w:eastAsia="zh-CN"/>
        </w:rPr>
        <w:t>另查明，</w:t>
      </w:r>
      <w:r>
        <w:rPr>
          <w:rFonts w:hint="eastAsia" w:ascii="Times New Roman" w:hAnsi="Times New Roman" w:eastAsia="仿宋_GB2312" w:cs="Times New Roman"/>
          <w:b w:val="0"/>
          <w:bCs/>
          <w:sz w:val="32"/>
          <w:szCs w:val="21"/>
          <w:lang w:val="en-US" w:eastAsia="zh-CN"/>
        </w:rPr>
        <w:t>据不完全统计，</w:t>
      </w:r>
      <w:r>
        <w:rPr>
          <w:rFonts w:hint="default" w:ascii="Times New Roman" w:hAnsi="Times New Roman" w:eastAsia="仿宋_GB2312" w:cs="Times New Roman"/>
          <w:b w:val="0"/>
          <w:bCs/>
          <w:sz w:val="32"/>
          <w:szCs w:val="21"/>
          <w:lang w:val="en-US" w:eastAsia="zh-CN"/>
        </w:rPr>
        <w:t>申请人累计投诉</w:t>
      </w:r>
      <w:r>
        <w:rPr>
          <w:rFonts w:hint="eastAsia" w:ascii="Times New Roman" w:hAnsi="Times New Roman" w:eastAsia="仿宋_GB2312" w:cs="Times New Roman"/>
          <w:b w:val="0"/>
          <w:bCs/>
          <w:sz w:val="32"/>
          <w:szCs w:val="21"/>
          <w:lang w:val="en-US" w:eastAsia="zh-CN"/>
        </w:rPr>
        <w:t>96</w:t>
      </w:r>
      <w:r>
        <w:rPr>
          <w:rFonts w:hint="default" w:ascii="Times New Roman" w:hAnsi="Times New Roman" w:eastAsia="仿宋_GB2312" w:cs="Times New Roman"/>
          <w:b w:val="0"/>
          <w:bCs/>
          <w:sz w:val="32"/>
          <w:szCs w:val="21"/>
          <w:lang w:val="en-US" w:eastAsia="zh-CN"/>
        </w:rPr>
        <w:t>次，举报</w:t>
      </w:r>
      <w:r>
        <w:rPr>
          <w:rFonts w:hint="eastAsia" w:ascii="Times New Roman" w:hAnsi="Times New Roman" w:eastAsia="仿宋_GB2312" w:cs="Times New Roman"/>
          <w:b w:val="0"/>
          <w:bCs/>
          <w:sz w:val="32"/>
          <w:szCs w:val="21"/>
          <w:lang w:val="en-US" w:eastAsia="zh-CN"/>
        </w:rPr>
        <w:t>112</w:t>
      </w:r>
      <w:r>
        <w:rPr>
          <w:rFonts w:hint="default" w:ascii="Times New Roman" w:hAnsi="Times New Roman" w:eastAsia="仿宋_GB2312" w:cs="Times New Roman"/>
          <w:b w:val="0"/>
          <w:bCs/>
          <w:sz w:val="32"/>
          <w:szCs w:val="21"/>
          <w:lang w:val="en-US" w:eastAsia="zh-CN"/>
        </w:rPr>
        <w:t>次</w:t>
      </w:r>
      <w:r>
        <w:rPr>
          <w:rFonts w:hint="eastAsia" w:ascii="Times New Roman" w:hAnsi="Times New Roman" w:eastAsia="仿宋_GB2312" w:cs="Times New Roman"/>
          <w:b w:val="0"/>
          <w:bCs/>
          <w:sz w:val="32"/>
          <w:szCs w:val="21"/>
          <w:u w:val="none"/>
          <w:lang w:val="en-US" w:eastAsia="zh-CN"/>
        </w:rPr>
        <w:t>，且针对投诉举报处理提起多次行政复议</w:t>
      </w:r>
      <w:r>
        <w:rPr>
          <w:rFonts w:hint="default" w:ascii="Times New Roman" w:hAnsi="Times New Roman" w:eastAsia="仿宋_GB2312" w:cs="Times New Roman"/>
          <w:b w:val="0"/>
          <w:bCs/>
          <w:sz w:val="32"/>
          <w:szCs w:val="21"/>
          <w:lang w:val="en-US" w:eastAsia="zh-CN"/>
        </w:rPr>
        <w:t>。</w:t>
      </w:r>
      <w:r>
        <w:rPr>
          <w:rFonts w:hint="eastAsia" w:ascii="Times New Roman" w:hAnsi="Times New Roman" w:eastAsia="仿宋_GB2312" w:cs="Times New Roman"/>
          <w:b w:val="0"/>
          <w:bCs/>
          <w:sz w:val="32"/>
          <w:szCs w:val="21"/>
          <w:lang w:val="en-US" w:eastAsia="zh-CN"/>
        </w:rPr>
        <w:t>其中，近两年</w:t>
      </w:r>
      <w:r>
        <w:rPr>
          <w:rFonts w:hint="default" w:ascii="Times New Roman" w:hAnsi="Times New Roman" w:eastAsia="仿宋_GB2312" w:cs="Times New Roman"/>
          <w:b w:val="0"/>
          <w:bCs/>
          <w:sz w:val="32"/>
          <w:szCs w:val="21"/>
          <w:lang w:val="en-US" w:eastAsia="zh-CN"/>
        </w:rPr>
        <w:t>在赣榆区投诉举报</w:t>
      </w:r>
      <w:r>
        <w:rPr>
          <w:rFonts w:hint="eastAsia" w:ascii="Times New Roman" w:hAnsi="Times New Roman" w:eastAsia="仿宋_GB2312" w:cs="Times New Roman"/>
          <w:b w:val="0"/>
          <w:bCs/>
          <w:sz w:val="32"/>
          <w:szCs w:val="21"/>
          <w:lang w:val="en-US" w:eastAsia="zh-CN"/>
        </w:rPr>
        <w:t>54</w:t>
      </w:r>
      <w:r>
        <w:rPr>
          <w:rFonts w:hint="default" w:ascii="Times New Roman" w:hAnsi="Times New Roman" w:eastAsia="仿宋_GB2312" w:cs="Times New Roman"/>
          <w:b w:val="0"/>
          <w:bCs/>
          <w:sz w:val="32"/>
          <w:szCs w:val="21"/>
          <w:lang w:val="en-US" w:eastAsia="zh-CN"/>
        </w:rPr>
        <w:t>件</w:t>
      </w:r>
      <w:r>
        <w:rPr>
          <w:rFonts w:hint="eastAsia" w:ascii="Times New Roman" w:hAnsi="Times New Roman" w:eastAsia="仿宋_GB2312" w:cs="Times New Roman"/>
          <w:b w:val="0"/>
          <w:bCs/>
          <w:sz w:val="32"/>
          <w:szCs w:val="21"/>
          <w:lang w:val="en-US" w:eastAsia="zh-CN"/>
        </w:rPr>
        <w:t>，</w:t>
      </w:r>
      <w:r>
        <w:rPr>
          <w:rFonts w:hint="default" w:ascii="Times New Roman" w:hAnsi="Times New Roman" w:eastAsia="仿宋_GB2312" w:cs="Times New Roman"/>
          <w:b w:val="0"/>
          <w:bCs/>
          <w:sz w:val="32"/>
          <w:szCs w:val="21"/>
          <w:lang w:val="en-US" w:eastAsia="zh-CN"/>
        </w:rPr>
        <w:t>投诉举报</w:t>
      </w:r>
      <w:r>
        <w:rPr>
          <w:rFonts w:hint="eastAsia" w:ascii="Times New Roman" w:hAnsi="Times New Roman" w:eastAsia="仿宋_GB2312" w:cs="Times New Roman"/>
          <w:b w:val="0"/>
          <w:bCs/>
          <w:sz w:val="32"/>
          <w:szCs w:val="21"/>
          <w:lang w:val="en-US" w:eastAsia="zh-CN"/>
        </w:rPr>
        <w:t>事由</w:t>
      </w:r>
      <w:r>
        <w:rPr>
          <w:rFonts w:hint="default" w:ascii="Times New Roman" w:hAnsi="Times New Roman" w:eastAsia="仿宋_GB2312" w:cs="Times New Roman"/>
          <w:b w:val="0"/>
          <w:bCs/>
          <w:sz w:val="32"/>
          <w:szCs w:val="21"/>
          <w:lang w:val="en-US" w:eastAsia="zh-CN"/>
        </w:rPr>
        <w:t>主要</w:t>
      </w:r>
      <w:r>
        <w:rPr>
          <w:rFonts w:hint="eastAsia" w:ascii="Times New Roman" w:hAnsi="Times New Roman" w:eastAsia="仿宋_GB2312" w:cs="Times New Roman"/>
          <w:b w:val="0"/>
          <w:bCs/>
          <w:sz w:val="32"/>
          <w:szCs w:val="21"/>
          <w:lang w:val="en-US" w:eastAsia="zh-CN"/>
        </w:rPr>
        <w:t>集中在</w:t>
      </w:r>
      <w:r>
        <w:rPr>
          <w:rFonts w:hint="default" w:ascii="Times New Roman" w:hAnsi="Times New Roman" w:eastAsia="仿宋_GB2312" w:cs="Times New Roman"/>
          <w:b w:val="0"/>
          <w:bCs/>
          <w:sz w:val="32"/>
          <w:szCs w:val="21"/>
          <w:lang w:val="en-US" w:eastAsia="zh-CN"/>
        </w:rPr>
        <w:t>生产资质问题。</w:t>
      </w:r>
    </w:p>
    <w:p w14:paraId="35FCBB4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eastAsia" w:ascii="Times New Roman" w:hAnsi="Times New Roman" w:eastAsia="仿宋_GB2312"/>
          <w:sz w:val="32"/>
        </w:rPr>
      </w:pPr>
      <w:r>
        <w:rPr>
          <w:rFonts w:hint="eastAsia" w:ascii="Times New Roman" w:hAnsi="Times New Roman" w:eastAsia="仿宋_GB2312" w:cs="Times New Roman"/>
          <w:b/>
          <w:bCs/>
          <w:sz w:val="32"/>
          <w:lang w:val="en-US" w:eastAsia="zh-CN"/>
        </w:rPr>
        <w:t>本机关认为：</w:t>
      </w:r>
      <w:r>
        <w:rPr>
          <w:rFonts w:hint="eastAsia" w:ascii="Times New Roman" w:hAnsi="Times New Roman" w:eastAsia="仿宋_GB2312"/>
          <w:sz w:val="32"/>
        </w:rPr>
        <w:t>《中华人民共和国行政复议法》第一条规定：“为了防止和纠正违法的或者不当的行政行为，保护公民、法人和其他组织的合法权益，监督和保障行政机关依法行使职权，发挥行政复议化解行政争议的主渠道作用，推进法治政府建设，根据宪法，制定本法。”第二条</w:t>
      </w:r>
      <w:r>
        <w:rPr>
          <w:rFonts w:hint="eastAsia" w:ascii="Times New Roman" w:hAnsi="Times New Roman" w:eastAsia="仿宋_GB2312"/>
          <w:sz w:val="32"/>
          <w:lang w:eastAsia="zh-CN"/>
        </w:rPr>
        <w:t>第一款</w:t>
      </w:r>
      <w:r>
        <w:rPr>
          <w:rFonts w:hint="eastAsia" w:ascii="Times New Roman" w:hAnsi="Times New Roman" w:eastAsia="仿宋_GB2312"/>
          <w:sz w:val="32"/>
        </w:rPr>
        <w:t>规定：“公民、法人或者其他组织认为行政机关的行政行为侵犯其合法权益，向行政复议机关提出行政复议申请，行政复议机关办理行政复议案件，适用本法</w:t>
      </w:r>
      <w:r>
        <w:rPr>
          <w:rFonts w:hint="eastAsia" w:ascii="Times New Roman" w:hAnsi="Times New Roman" w:eastAsia="仿宋_GB2312"/>
          <w:sz w:val="32"/>
          <w:lang w:eastAsia="zh-CN"/>
        </w:rPr>
        <w:t>。</w:t>
      </w:r>
      <w:r>
        <w:rPr>
          <w:rFonts w:hint="eastAsia" w:ascii="Times New Roman" w:hAnsi="Times New Roman" w:eastAsia="仿宋_GB2312"/>
          <w:sz w:val="32"/>
        </w:rPr>
        <w:t>”第三十条第一款第（二）项规定：“行政复议机关收到行政复议申请后，应当在五日内进行审查。对符合下列规定的，行政复议机关应当予以受理：……（二）申请人与被申请行政复议的行政行为有利害关系……”根据上述规定，行政复议申请人资格应当以与行政行为有利害关系为前提，即申请人的合法权益可能受到行政行为的侵害且该侵害对申请人的合法权益产生的影响具有直接关联性</w:t>
      </w:r>
      <w:r>
        <w:rPr>
          <w:rFonts w:hint="eastAsia" w:ascii="Times New Roman" w:hAnsi="Times New Roman" w:eastAsia="仿宋_GB2312"/>
          <w:sz w:val="32"/>
          <w:lang w:eastAsia="zh-CN"/>
        </w:rPr>
        <w:t>。</w:t>
      </w:r>
      <w:r>
        <w:rPr>
          <w:rFonts w:hint="eastAsia" w:ascii="Times New Roman" w:hAnsi="Times New Roman" w:eastAsia="仿宋_GB2312"/>
          <w:sz w:val="32"/>
        </w:rPr>
        <w:t>本案中，申请人在收到被申请人</w:t>
      </w:r>
      <w:r>
        <w:rPr>
          <w:rFonts w:hint="eastAsia" w:ascii="Times New Roman" w:hAnsi="Times New Roman" w:eastAsia="仿宋_GB2312"/>
          <w:sz w:val="32"/>
          <w:lang w:eastAsia="zh-CN"/>
        </w:rPr>
        <w:t>电子邮件</w:t>
      </w:r>
      <w:r>
        <w:rPr>
          <w:rFonts w:hint="eastAsia" w:ascii="Times New Roman" w:hAnsi="Times New Roman" w:eastAsia="仿宋_GB2312"/>
          <w:sz w:val="32"/>
        </w:rPr>
        <w:t>告知后仍以被申请人未在规定期限内告知投诉是否受理为由提起行政复议。被申请人的行为并未侵犯申请人作为投诉举报人所应享有的程序性或实体性权益，其复议申请缺乏权利基础。</w:t>
      </w:r>
      <w:r>
        <w:rPr>
          <w:rFonts w:hint="eastAsia" w:ascii="Times New Roman" w:hAnsi="Times New Roman" w:eastAsia="仿宋_GB2312"/>
          <w:sz w:val="32"/>
          <w:lang w:eastAsia="zh-CN"/>
        </w:rPr>
        <w:t>另据不完全统计，</w:t>
      </w:r>
      <w:r>
        <w:rPr>
          <w:rFonts w:hint="eastAsia" w:ascii="Times New Roman" w:hAnsi="Times New Roman" w:eastAsia="仿宋_GB2312"/>
          <w:sz w:val="32"/>
        </w:rPr>
        <w:t>申请人累计投诉举报</w:t>
      </w:r>
      <w:r>
        <w:rPr>
          <w:rFonts w:hint="eastAsia" w:ascii="Times New Roman" w:hAnsi="Times New Roman" w:eastAsia="仿宋_GB2312"/>
          <w:sz w:val="32"/>
          <w:lang w:val="en-US" w:eastAsia="zh-CN"/>
        </w:rPr>
        <w:t>200</w:t>
      </w:r>
      <w:r>
        <w:rPr>
          <w:rFonts w:hint="eastAsia" w:ascii="Times New Roman" w:hAnsi="Times New Roman" w:eastAsia="仿宋_GB2312"/>
          <w:sz w:val="32"/>
        </w:rPr>
        <w:t>余次。结合</w:t>
      </w:r>
      <w:r>
        <w:rPr>
          <w:rFonts w:hint="eastAsia" w:ascii="Times New Roman" w:hAnsi="Times New Roman" w:eastAsia="仿宋_GB2312"/>
          <w:sz w:val="32"/>
          <w:lang w:eastAsia="zh-CN"/>
        </w:rPr>
        <w:t>申请人</w:t>
      </w:r>
      <w:r>
        <w:rPr>
          <w:rFonts w:hint="eastAsia" w:ascii="Times New Roman" w:hAnsi="Times New Roman" w:eastAsia="仿宋_GB2312"/>
          <w:sz w:val="32"/>
        </w:rPr>
        <w:t>过度频繁购买商品后再投诉举报的事实，可以认定其行为已经超越了普通消费者基于维护自身合法权益而进行的投诉举报行为，不属于《中华人民共和国消费者权益保护法》及相关司法解释规定的受保护的消费者。故申请人与被申请人就其投诉举报作出的处理行为没有利害关系，依法不应受理，鉴于已经受理，应予以驳回申请。</w:t>
      </w:r>
    </w:p>
    <w:p w14:paraId="5315BDF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lang w:eastAsia="zh-CN"/>
        </w:rPr>
        <w:t>此外，当事人行使复议权应当具有值得通过复议程序予以保护的正当利益，不得有非建立在诚信行为基础上的恶意复议行为。</w:t>
      </w:r>
      <w:r>
        <w:rPr>
          <w:rFonts w:hint="eastAsia" w:ascii="Times New Roman" w:hAnsi="Times New Roman" w:eastAsia="仿宋_GB2312"/>
          <w:sz w:val="32"/>
          <w:u w:val="none"/>
          <w:lang w:eastAsia="zh-CN"/>
        </w:rPr>
        <w:t>申请人针对市监部门对其大量</w:t>
      </w:r>
      <w:r>
        <w:rPr>
          <w:rFonts w:hint="eastAsia" w:ascii="Times New Roman" w:hAnsi="Times New Roman" w:eastAsia="仿宋_GB2312"/>
          <w:sz w:val="32"/>
          <w:u w:val="none"/>
        </w:rPr>
        <w:t>投诉举报</w:t>
      </w:r>
      <w:r>
        <w:rPr>
          <w:rFonts w:hint="eastAsia" w:ascii="Times New Roman" w:hAnsi="Times New Roman" w:eastAsia="仿宋_GB2312"/>
          <w:sz w:val="32"/>
          <w:u w:val="none"/>
          <w:lang w:eastAsia="zh-CN"/>
        </w:rPr>
        <w:t>进行的处理提起多次行政</w:t>
      </w:r>
      <w:r>
        <w:rPr>
          <w:rFonts w:hint="eastAsia" w:ascii="Times New Roman" w:hAnsi="Times New Roman" w:eastAsia="仿宋_GB2312"/>
          <w:sz w:val="32"/>
          <w:u w:val="none"/>
        </w:rPr>
        <w:t>复议，</w:t>
      </w:r>
      <w:r>
        <w:rPr>
          <w:rFonts w:hint="eastAsia" w:ascii="Times New Roman" w:hAnsi="Times New Roman" w:eastAsia="仿宋_GB2312"/>
          <w:sz w:val="32"/>
          <w:u w:val="none"/>
          <w:lang w:eastAsia="zh-CN"/>
        </w:rPr>
        <w:t>超出了必要、合理的限度。尤为关键的是，申请人在投诉举报时主动提供联系方式，却一直拒接被申请人电话、拒收短信，在</w:t>
      </w:r>
      <w:r>
        <w:rPr>
          <w:rFonts w:hint="eastAsia" w:ascii="Times New Roman" w:hAnsi="Times New Roman" w:eastAsia="仿宋_GB2312"/>
          <w:sz w:val="32"/>
          <w:lang w:eastAsia="zh-CN"/>
        </w:rPr>
        <w:t>被申请人已通过电子邮件告知其受理投诉后仍以未告知为由提起复议。这足以证明，申请人主观上并非为了解决消费争议，其行为主观恶意明显，</w:t>
      </w:r>
      <w:r>
        <w:rPr>
          <w:rFonts w:hint="eastAsia" w:ascii="Times New Roman" w:hAnsi="Times New Roman" w:eastAsia="仿宋_GB2312"/>
          <w:sz w:val="32"/>
        </w:rPr>
        <w:t>已偏离权利救济的正当目的，构成滥用行政复议权利。行政复议资源是有限且宝贵的公共资源，旨在为确有救济需求的申请人提供公正高效的救济渠道。申请人的行为不仅挤占和耗费了本已紧张</w:t>
      </w:r>
      <w:r>
        <w:rPr>
          <w:rFonts w:hint="eastAsia" w:ascii="Times New Roman" w:hAnsi="Times New Roman" w:eastAsia="仿宋_GB2312"/>
          <w:sz w:val="32"/>
          <w:lang w:eastAsia="zh-CN"/>
        </w:rPr>
        <w:t>的</w:t>
      </w:r>
      <w:r>
        <w:rPr>
          <w:rFonts w:hint="eastAsia" w:ascii="Times New Roman" w:hAnsi="Times New Roman" w:eastAsia="仿宋_GB2312"/>
          <w:sz w:val="32"/>
        </w:rPr>
        <w:t>行政复议资源</w:t>
      </w:r>
      <w:r>
        <w:rPr>
          <w:rFonts w:hint="eastAsia" w:ascii="Times New Roman" w:hAnsi="Times New Roman" w:eastAsia="仿宋_GB2312"/>
          <w:sz w:val="32"/>
          <w:lang w:eastAsia="zh-CN"/>
        </w:rPr>
        <w:t>、</w:t>
      </w:r>
      <w:r>
        <w:rPr>
          <w:rFonts w:hint="eastAsia" w:ascii="Times New Roman" w:hAnsi="Times New Roman" w:eastAsia="仿宋_GB2312"/>
          <w:sz w:val="32"/>
        </w:rPr>
        <w:t>严重扰乱了正常的市场监管秩序和行政复议秩序，也使真正需要救济的申请人难以获得及时的救济。故对申请人滥用行政复议权利的行为，复议机关应当予以遏制。</w:t>
      </w:r>
    </w:p>
    <w:p w14:paraId="234C4BA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综上，根据《中华人民共和国行政复议法》</w:t>
      </w:r>
      <w:r>
        <w:rPr>
          <w:rFonts w:hint="eastAsia" w:ascii="Times New Roman" w:hAnsi="Times New Roman" w:eastAsia="仿宋_GB2312"/>
          <w:sz w:val="32"/>
          <w:lang w:eastAsia="zh-CN"/>
        </w:rPr>
        <w:t>第三十条第一款第（二）项、</w:t>
      </w:r>
      <w:r>
        <w:rPr>
          <w:rFonts w:hint="eastAsia" w:ascii="Times New Roman" w:hAnsi="Times New Roman" w:eastAsia="仿宋_GB2312"/>
          <w:sz w:val="32"/>
        </w:rPr>
        <w:t>第三十三条规定，本机关决定如下：</w:t>
      </w:r>
    </w:p>
    <w:p w14:paraId="5E9C936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驳回申请人</w:t>
      </w:r>
      <w:r>
        <w:rPr>
          <w:rFonts w:hint="eastAsia" w:ascii="Times New Roman" w:hAnsi="Times New Roman" w:eastAsia="仿宋_GB2312"/>
          <w:sz w:val="32"/>
          <w:lang w:eastAsia="zh-CN"/>
        </w:rPr>
        <w:t>李某</w:t>
      </w:r>
      <w:r>
        <w:rPr>
          <w:rFonts w:hint="eastAsia" w:ascii="Times New Roman" w:hAnsi="Times New Roman" w:eastAsia="仿宋_GB2312"/>
          <w:sz w:val="32"/>
        </w:rPr>
        <w:t>的行政复议申请。</w:t>
      </w:r>
    </w:p>
    <w:p w14:paraId="6A32957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Times New Roman" w:hAnsi="Times New Roman" w:eastAsia="仿宋_GB2312"/>
          <w:sz w:val="32"/>
        </w:rPr>
      </w:pPr>
      <w:r>
        <w:rPr>
          <w:rFonts w:hint="eastAsia" w:ascii="Times New Roman" w:hAnsi="Times New Roman" w:eastAsia="仿宋_GB2312"/>
          <w:sz w:val="32"/>
        </w:rPr>
        <w:t>为避免浪费行政复议资源，今后对于</w:t>
      </w:r>
      <w:r>
        <w:rPr>
          <w:rFonts w:hint="eastAsia" w:ascii="Times New Roman" w:hAnsi="Times New Roman" w:eastAsia="仿宋_GB2312"/>
          <w:sz w:val="32"/>
          <w:lang w:eastAsia="zh-CN"/>
        </w:rPr>
        <w:t>李某</w:t>
      </w:r>
      <w:r>
        <w:rPr>
          <w:rFonts w:hint="eastAsia" w:ascii="Times New Roman" w:hAnsi="Times New Roman" w:eastAsia="仿宋_GB2312"/>
          <w:sz w:val="32"/>
        </w:rPr>
        <w:t>提交的相同或者类似的行政复议申请材料，本机关不再重</w:t>
      </w:r>
      <w:bookmarkStart w:id="0" w:name="_GoBack"/>
      <w:bookmarkEnd w:id="0"/>
      <w:r>
        <w:rPr>
          <w:rFonts w:hint="eastAsia" w:ascii="Times New Roman" w:hAnsi="Times New Roman" w:eastAsia="仿宋_GB2312"/>
          <w:sz w:val="32"/>
        </w:rPr>
        <w:t>复处理。</w:t>
      </w:r>
    </w:p>
    <w:p w14:paraId="2043582E">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Courier New"/>
          <w:bCs/>
          <w:kern w:val="2"/>
          <w:sz w:val="32"/>
          <w:szCs w:val="32"/>
        </w:rPr>
      </w:pPr>
      <w:r>
        <w:rPr>
          <w:rFonts w:hint="eastAsia" w:ascii="Times New Roman" w:hAnsi="Times New Roman" w:eastAsia="仿宋_GB2312"/>
          <w:sz w:val="32"/>
        </w:rPr>
        <w:t>申请人如不服本决定，可以自接到本决定之日起15日内依法向连云港市中级人民法院提起行政诉讼。</w:t>
      </w:r>
    </w:p>
    <w:p w14:paraId="5DA2B7BB">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Courier New"/>
          <w:bCs/>
          <w:kern w:val="2"/>
          <w:sz w:val="32"/>
          <w:szCs w:val="32"/>
        </w:rPr>
      </w:pPr>
    </w:p>
    <w:p w14:paraId="11420048">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Courier New"/>
          <w:bCs/>
          <w:kern w:val="2"/>
          <w:sz w:val="32"/>
          <w:szCs w:val="32"/>
          <w:lang w:val="en-US" w:eastAsia="zh-CN" w:bidi="ar"/>
        </w:rPr>
      </w:pPr>
    </w:p>
    <w:p w14:paraId="3B6463F7">
      <w:pPr>
        <w:keepNext w:val="0"/>
        <w:keepLines w:val="0"/>
        <w:pageBreakBefore w:val="0"/>
        <w:widowControl w:val="0"/>
        <w:suppressLineNumbers w:val="0"/>
        <w:kinsoku/>
        <w:overflowPunct/>
        <w:topLinePunct w:val="0"/>
        <w:autoSpaceDE w:val="0"/>
        <w:autoSpaceDN/>
        <w:bidi w:val="0"/>
        <w:adjustRightInd w:val="0"/>
        <w:snapToGrid w:val="0"/>
        <w:spacing w:before="0" w:beforeAutospacing="0" w:after="0" w:afterAutospacing="0" w:line="560" w:lineRule="exact"/>
        <w:ind w:left="0" w:right="0" w:firstLine="640" w:firstLineChars="200"/>
        <w:jc w:val="both"/>
        <w:textAlignment w:val="auto"/>
        <w:rPr>
          <w:rFonts w:hint="default" w:ascii="Times New Roman" w:hAnsi="Times New Roman" w:eastAsia="仿宋_GB2312" w:cs="Courier New"/>
          <w:bCs/>
          <w:kern w:val="2"/>
          <w:sz w:val="32"/>
          <w:szCs w:val="32"/>
          <w:lang w:val="en-US" w:eastAsia="zh-CN" w:bidi="ar"/>
        </w:rPr>
      </w:pPr>
    </w:p>
    <w:p w14:paraId="5AD41AB3">
      <w:pPr>
        <w:keepNext w:val="0"/>
        <w:keepLines w:val="0"/>
        <w:pageBreakBefore w:val="0"/>
        <w:widowControl w:val="0"/>
        <w:suppressLineNumbers w:val="0"/>
        <w:tabs>
          <w:tab w:val="left" w:pos="7140"/>
        </w:tabs>
        <w:kinsoku/>
        <w:wordWrap w:val="0"/>
        <w:overflowPunct/>
        <w:topLinePunct w:val="0"/>
        <w:autoSpaceDN/>
        <w:bidi w:val="0"/>
        <w:spacing w:before="0" w:beforeAutospacing="0" w:after="0" w:afterAutospacing="0" w:line="560" w:lineRule="exact"/>
        <w:ind w:left="0" w:right="0"/>
        <w:jc w:val="right"/>
        <w:textAlignment w:val="auto"/>
        <w:rPr>
          <w:rFonts w:hint="default" w:ascii="Times New Roman" w:hAnsi="Times New Roman" w:eastAsia="仿宋_GB2312" w:cs="Courier New"/>
          <w:bCs/>
          <w:kern w:val="2"/>
          <w:sz w:val="32"/>
          <w:szCs w:val="32"/>
        </w:rPr>
      </w:pPr>
      <w:r>
        <w:rPr>
          <w:rFonts w:hint="default" w:ascii="Times New Roman" w:hAnsi="Times New Roman" w:eastAsia="仿宋_GB2312" w:cs="Times New Roman"/>
          <w:bCs/>
          <w:kern w:val="2"/>
          <w:sz w:val="32"/>
          <w:szCs w:val="32"/>
          <w:lang w:val="en-US" w:eastAsia="zh-CN" w:bidi="ar"/>
        </w:rPr>
        <w:t>2025</w:t>
      </w:r>
      <w:r>
        <w:rPr>
          <w:rFonts w:hint="default" w:ascii="仿宋_GB2312" w:hAnsi="Times New Roman" w:eastAsia="仿宋_GB2312" w:cs="仿宋_GB2312"/>
          <w:bCs/>
          <w:kern w:val="2"/>
          <w:sz w:val="32"/>
          <w:szCs w:val="32"/>
          <w:lang w:val="en-US" w:eastAsia="zh-CN" w:bidi="ar"/>
        </w:rPr>
        <w:t>年</w:t>
      </w:r>
      <w:r>
        <w:rPr>
          <w:rFonts w:hint="default" w:ascii="Times New Roman" w:hAnsi="Times New Roman" w:eastAsia="仿宋_GB2312" w:cs="Times New Roman"/>
          <w:bCs/>
          <w:kern w:val="2"/>
          <w:sz w:val="32"/>
          <w:szCs w:val="32"/>
          <w:lang w:val="en-US" w:eastAsia="zh-CN" w:bidi="ar"/>
        </w:rPr>
        <w:t>11</w:t>
      </w:r>
      <w:r>
        <w:rPr>
          <w:rFonts w:hint="default" w:ascii="仿宋_GB2312" w:hAnsi="Times New Roman" w:eastAsia="仿宋_GB2312" w:cs="仿宋_GB2312"/>
          <w:bCs/>
          <w:kern w:val="2"/>
          <w:sz w:val="32"/>
          <w:szCs w:val="32"/>
          <w:lang w:val="en-US" w:eastAsia="zh-CN" w:bidi="ar"/>
        </w:rPr>
        <w:t>月</w:t>
      </w:r>
      <w:r>
        <w:rPr>
          <w:rFonts w:hint="eastAsia" w:ascii="Times New Roman" w:hAnsi="Times New Roman" w:eastAsia="仿宋_GB2312" w:cs="Times New Roman"/>
          <w:bCs/>
          <w:kern w:val="2"/>
          <w:sz w:val="32"/>
          <w:szCs w:val="32"/>
          <w:lang w:val="en-US" w:eastAsia="zh-CN" w:bidi="ar"/>
        </w:rPr>
        <w:t>24</w:t>
      </w:r>
      <w:r>
        <w:rPr>
          <w:rFonts w:hint="default" w:ascii="仿宋_GB2312" w:hAnsi="Times New Roman" w:eastAsia="仿宋_GB2312" w:cs="仿宋_GB2312"/>
          <w:bCs/>
          <w:kern w:val="2"/>
          <w:sz w:val="32"/>
          <w:szCs w:val="32"/>
          <w:lang w:val="en-US" w:eastAsia="zh-CN" w:bidi="ar"/>
        </w:rPr>
        <w:t xml:space="preserve">日        </w:t>
      </w:r>
    </w:p>
    <w:p w14:paraId="757A5E8B">
      <w:pPr>
        <w:keepNext w:val="0"/>
        <w:keepLines w:val="0"/>
        <w:pageBreakBefore w:val="0"/>
        <w:widowControl w:val="0"/>
        <w:kinsoku/>
        <w:overflowPunct/>
        <w:topLinePunct w:val="0"/>
        <w:autoSpaceDN/>
        <w:bidi w:val="0"/>
        <w:spacing w:line="560" w:lineRule="exact"/>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br w:type="page"/>
      </w:r>
    </w:p>
    <w:p w14:paraId="6FF9993D">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Times New Roman" w:hAnsi="Times New Roman" w:eastAsia="仿宋_GB2312" w:cstheme="minorBidi"/>
          <w:kern w:val="2"/>
          <w:sz w:val="32"/>
          <w:szCs w:val="24"/>
          <w:lang w:val="en-US" w:eastAsia="zh-CN" w:bidi="ar-SA"/>
        </w:rPr>
      </w:pPr>
      <w:r>
        <w:rPr>
          <w:rFonts w:hint="eastAsia" w:ascii="Times New Roman" w:hAnsi="Times New Roman" w:eastAsia="仿宋_GB2312" w:cstheme="minorBidi"/>
          <w:kern w:val="2"/>
          <w:sz w:val="32"/>
          <w:szCs w:val="24"/>
          <w:lang w:val="en-US" w:eastAsia="zh-CN" w:bidi="ar-SA"/>
        </w:rPr>
        <w:t>附：本决定适用的相关法律依据：</w:t>
      </w:r>
    </w:p>
    <w:p w14:paraId="7C894D1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3" w:firstLineChars="200"/>
        <w:jc w:val="both"/>
        <w:textAlignment w:val="auto"/>
        <w:rPr>
          <w:rFonts w:hint="eastAsia" w:ascii="Times New Roman" w:hAnsi="Times New Roman" w:eastAsia="仿宋_GB2312" w:cs="Courier New"/>
          <w:b/>
          <w:bCs w:val="0"/>
          <w:sz w:val="32"/>
          <w:szCs w:val="21"/>
        </w:rPr>
      </w:pPr>
      <w:r>
        <w:rPr>
          <w:rFonts w:hint="eastAsia" w:ascii="Times New Roman" w:hAnsi="Times New Roman" w:eastAsia="仿宋_GB2312" w:cs="Courier New"/>
          <w:b/>
          <w:bCs w:val="0"/>
          <w:sz w:val="32"/>
          <w:szCs w:val="21"/>
        </w:rPr>
        <w:t>《中华人民共和国行政复议法》</w:t>
      </w:r>
    </w:p>
    <w:p w14:paraId="174EFB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第一条　为了防止和纠正违法的或者不当的行政行为，保护公民、法人和其他组织的合法权益，监督和保障行政机关依法行使职权，发挥行政复议化解行政争议的主渠道作用，推进法治政府建设，根据宪法，制定本法。</w:t>
      </w:r>
    </w:p>
    <w:p w14:paraId="4DE52E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第二条　公民、法人或者其他组织认为行政机关的行政行为侵犯其合法权益，向行政复议机关提出行政复议申请，行政复议机关办理行政复议案件，适用本法。</w:t>
      </w:r>
    </w:p>
    <w:p w14:paraId="1E13B3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前款所称行政行为，包括法律、法规、规章授权的组织的行政行为。</w:t>
      </w:r>
    </w:p>
    <w:p w14:paraId="056856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第三十条　行政复议机关收到行政复议申请后，应当在五日内进行审查。对符合下列规定的，行政复议机关应当予以受理：</w:t>
      </w:r>
    </w:p>
    <w:p w14:paraId="2EBC43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（一）有明确的申请人和符合本法规定的被申请人；</w:t>
      </w:r>
    </w:p>
    <w:p w14:paraId="15906E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（二）申请人与被申请行政复议的行政行为有利害关系；</w:t>
      </w:r>
    </w:p>
    <w:p w14:paraId="08E8ED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（三）有具体的行政复议请求和理由；</w:t>
      </w:r>
    </w:p>
    <w:p w14:paraId="2C7004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（四）在法定申请期限内提出；</w:t>
      </w:r>
    </w:p>
    <w:p w14:paraId="05BA7D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（五）属于本法规定的行政复议范围；</w:t>
      </w:r>
    </w:p>
    <w:p w14:paraId="6188FD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（六）属于本机关的管辖范围；</w:t>
      </w:r>
    </w:p>
    <w:p w14:paraId="246AF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（七）行政复议机关未受理过该申请人就同一行政行为提出的行政复议申请，并且人民法院未受理过该申请人就同一行政行为提起的行政诉讼。</w:t>
      </w:r>
    </w:p>
    <w:p w14:paraId="71874A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对不符合前款规定的行政复议申请，行政复议机关应当在审查期限内决定不予受理并说明理由；不属于本机关管辖的，还应当在不予受理决定中告知申请人有管辖权的行政复议机关。</w:t>
      </w:r>
    </w:p>
    <w:p w14:paraId="43F473C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w:t>
      </w:r>
    </w:p>
    <w:p w14:paraId="22752B4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r>
        <w:rPr>
          <w:rFonts w:hint="eastAsia" w:ascii="Times New Roman" w:hAnsi="Times New Roman" w:eastAsia="仿宋_GB2312" w:cs="Courier New"/>
          <w:bCs/>
          <w:sz w:val="32"/>
          <w:szCs w:val="21"/>
          <w:lang w:val="en-US" w:eastAsia="zh-CN"/>
        </w:rPr>
        <w:t>第三十三条　行政复议机关受理行政复议申请后，发现该行政复议申请不符合本法第三十条第一款规定的，应当决定驳回申请并说明理由。</w:t>
      </w:r>
    </w:p>
    <w:p w14:paraId="146C0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4CF2D8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2344C8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62B55D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Courier New"/>
          <w:bCs/>
          <w:sz w:val="32"/>
          <w:szCs w:val="21"/>
          <w:lang w:val="en-US" w:eastAsia="zh-CN"/>
        </w:rPr>
      </w:pPr>
    </w:p>
    <w:p w14:paraId="4C83B73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Tahoma">
    <w:altName w:val="noto sans thai"/>
    <w:panose1 w:val="00000000000000000000"/>
    <w:charset w:val="00"/>
    <w:family w:val="auto"/>
    <w:pitch w:val="default"/>
    <w:sig w:usb0="00000000" w:usb1="00000000" w:usb2="00000000" w:usb3="00000000" w:csb0="00000000" w:csb1="00000000"/>
  </w:font>
  <w:font w:name="noto sans thai">
    <w:panose1 w:val="020B0502040504020204"/>
    <w:charset w:val="00"/>
    <w:family w:val="auto"/>
    <w:pitch w:val="default"/>
    <w:sig w:usb0="81000063" w:usb1="00002000" w:usb2="00000000" w:usb3="00000000" w:csb0="0001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1ABB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94DBB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D94DBBA">
                    <w:pPr>
                      <w:pStyle w:val="4"/>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3832E4"/>
    <w:rsid w:val="09167B59"/>
    <w:rsid w:val="0A2A37A7"/>
    <w:rsid w:val="10FF1C35"/>
    <w:rsid w:val="185419D8"/>
    <w:rsid w:val="1EAC2522"/>
    <w:rsid w:val="229451CA"/>
    <w:rsid w:val="23356F51"/>
    <w:rsid w:val="2FBB380D"/>
    <w:rsid w:val="3251350A"/>
    <w:rsid w:val="33586275"/>
    <w:rsid w:val="35B244CD"/>
    <w:rsid w:val="36CE72EA"/>
    <w:rsid w:val="36EC3DAF"/>
    <w:rsid w:val="3859492E"/>
    <w:rsid w:val="3B9F0CC3"/>
    <w:rsid w:val="3C833831"/>
    <w:rsid w:val="3E90786A"/>
    <w:rsid w:val="3F7795D9"/>
    <w:rsid w:val="3FCF6A78"/>
    <w:rsid w:val="3FE323E0"/>
    <w:rsid w:val="3FE70B5F"/>
    <w:rsid w:val="405A5D4B"/>
    <w:rsid w:val="43656471"/>
    <w:rsid w:val="457F0696"/>
    <w:rsid w:val="47BF212B"/>
    <w:rsid w:val="489D7EC1"/>
    <w:rsid w:val="4FC053D7"/>
    <w:rsid w:val="530C6CDE"/>
    <w:rsid w:val="567359ED"/>
    <w:rsid w:val="5A97282E"/>
    <w:rsid w:val="5C3832E4"/>
    <w:rsid w:val="5E7EC773"/>
    <w:rsid w:val="601C5B05"/>
    <w:rsid w:val="6440429D"/>
    <w:rsid w:val="65622F6B"/>
    <w:rsid w:val="6AB21AFC"/>
    <w:rsid w:val="6E8D386E"/>
    <w:rsid w:val="6EBD4F8D"/>
    <w:rsid w:val="6F756EBB"/>
    <w:rsid w:val="6FF7A9BB"/>
    <w:rsid w:val="71E7409F"/>
    <w:rsid w:val="76FE872C"/>
    <w:rsid w:val="7E72E36E"/>
    <w:rsid w:val="7F731C99"/>
    <w:rsid w:val="7F9A62E6"/>
    <w:rsid w:val="7FF84BC6"/>
    <w:rsid w:val="7FFE0AA4"/>
    <w:rsid w:val="8FAF56A8"/>
    <w:rsid w:val="8FB5ECA9"/>
    <w:rsid w:val="97EFAEEC"/>
    <w:rsid w:val="9ECF2689"/>
    <w:rsid w:val="A7E3DDC5"/>
    <w:rsid w:val="AE2DB30B"/>
    <w:rsid w:val="B9DB19EF"/>
    <w:rsid w:val="BBFFCAF5"/>
    <w:rsid w:val="BF9F9ABC"/>
    <w:rsid w:val="DEEF9FD5"/>
    <w:rsid w:val="E2FEFCD2"/>
    <w:rsid w:val="E7BCF3CA"/>
    <w:rsid w:val="EBEBA0A2"/>
    <w:rsid w:val="EBFD6B42"/>
    <w:rsid w:val="FEBDC89C"/>
    <w:rsid w:val="FEEFDD2F"/>
    <w:rsid w:val="FF3FD45C"/>
    <w:rsid w:val="FF79D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ascii="宋体" w:hAnsi="Courier New" w:eastAsia="宋体"/>
      <w:sz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9">
    <w:name w:val="10"/>
    <w:basedOn w:val="8"/>
    <w:qFormat/>
    <w:uiPriority w:val="0"/>
    <w:rPr>
      <w:rFonts w:hint="default" w:ascii="Times New Roman" w:hAnsi="Times New Roman" w:cs="Times New Roman"/>
    </w:rPr>
  </w:style>
  <w:style w:type="character" w:customStyle="1" w:styleId="10">
    <w:name w:val="15"/>
    <w:basedOn w:val="8"/>
    <w:qFormat/>
    <w:uiPriority w:val="0"/>
    <w:rPr>
      <w:rFonts w:hint="default" w:ascii="Times New Roman" w:hAnsi="Times New Roman"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1918</Words>
  <Characters>2061</Characters>
  <Lines>1</Lines>
  <Paragraphs>1</Paragraphs>
  <TotalTime>170</TotalTime>
  <ScaleCrop>false</ScaleCrop>
  <LinksUpToDate>false</LinksUpToDate>
  <CharactersWithSpaces>2124</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2025-08-30T22:41:00Z</dcterms:created>
  <dc:creator>别</dc:creator>
  <cp:lastModifiedBy>董雪</cp:lastModifiedBy>
  <cp:lastPrinted>2025-11-12T16:37:00Z</cp:lastPrinted>
  <dcterms:modified xsi:type="dcterms:W3CDTF">2026-05-29T14:45:13Z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3B3FA35458DD39541E00196AFB958567_43</vt:lpwstr>
  </property>
  <property fmtid="{D5CDD505-2E9C-101B-9397-08002B2CF9AE}" pid="4" name="KSOTemplateDocerSaveRecord">
    <vt:lpwstr>eyJoZGlkIjoiYmFlMDMyNTE2NTkzNzdkZDc5NTI4NzBmYzlmZWFhZTUiLCJ1c2VySWQiOiI1OTQ3NTE3OTkifQ==</vt:lpwstr>
  </property>
</Properties>
</file>