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rPr>
      </w:pPr>
      <w:r>
        <w:rPr>
          <w:rFonts w:hint="eastAsia" w:ascii="方正小标宋简体" w:hAnsi="方正小标宋简体" w:eastAsia="方正小标宋简体" w:cs="方正小标宋简体"/>
          <w:b w:val="0"/>
          <w:bCs w:val="0"/>
          <w:sz w:val="44"/>
          <w:szCs w:val="21"/>
        </w:rPr>
        <w:t>连云港市赣榆区人民政府</w:t>
      </w:r>
    </w:p>
    <w:p w14:paraId="6F24132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lang w:eastAsia="zh-CN"/>
        </w:rPr>
      </w:pPr>
      <w:r>
        <w:rPr>
          <w:rFonts w:hint="eastAsia" w:ascii="方正小标宋简体" w:hAnsi="方正小标宋简体" w:eastAsia="方正小标宋简体" w:cs="方正小标宋简体"/>
          <w:b w:val="0"/>
          <w:bCs w:val="0"/>
          <w:sz w:val="44"/>
          <w:szCs w:val="21"/>
          <w:lang w:eastAsia="zh-CN"/>
        </w:rPr>
        <w:t>驳回</w:t>
      </w:r>
      <w:r>
        <w:rPr>
          <w:rFonts w:hint="eastAsia" w:ascii="方正小标宋简体" w:hAnsi="方正小标宋简体" w:eastAsia="方正小标宋简体" w:cs="方正小标宋简体"/>
          <w:b w:val="0"/>
          <w:bCs w:val="0"/>
          <w:sz w:val="44"/>
          <w:szCs w:val="21"/>
        </w:rPr>
        <w:t>行政复议</w:t>
      </w:r>
      <w:r>
        <w:rPr>
          <w:rFonts w:hint="eastAsia" w:ascii="方正小标宋简体" w:hAnsi="方正小标宋简体" w:eastAsia="方正小标宋简体" w:cs="方正小标宋简体"/>
          <w:b w:val="0"/>
          <w:bCs w:val="0"/>
          <w:sz w:val="44"/>
          <w:szCs w:val="21"/>
          <w:lang w:eastAsia="zh-CN"/>
        </w:rPr>
        <w:t>申请</w:t>
      </w:r>
      <w:r>
        <w:rPr>
          <w:rFonts w:hint="eastAsia" w:ascii="方正小标宋简体" w:hAnsi="方正小标宋简体" w:eastAsia="方正小标宋简体" w:cs="方正小标宋简体"/>
          <w:b w:val="0"/>
          <w:bCs w:val="0"/>
          <w:sz w:val="44"/>
          <w:szCs w:val="21"/>
        </w:rPr>
        <w:t>决定书</w:t>
      </w:r>
    </w:p>
    <w:p w14:paraId="0020FE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60" w:lineRule="exact"/>
        <w:ind w:firstLine="3510"/>
        <w:jc w:val="right"/>
        <w:textAlignment w:val="auto"/>
        <w:rPr>
          <w:rFonts w:hint="eastAsia" w:ascii="Times New Roman" w:hAnsi="Times New Roman" w:eastAsia="仿宋_GB2312" w:cs="Times New Roman"/>
          <w:bCs/>
          <w:sz w:val="32"/>
          <w:szCs w:val="21"/>
        </w:rPr>
      </w:pPr>
      <w:r>
        <w:rPr>
          <w:rFonts w:hint="default" w:ascii="Times New Roman" w:hAnsi="Times New Roman" w:eastAsia="仿宋_GB2312" w:cs="Times New Roman"/>
          <w:bCs/>
          <w:sz w:val="32"/>
          <w:szCs w:val="21"/>
        </w:rPr>
        <w:t>〔202</w:t>
      </w:r>
      <w:r>
        <w:rPr>
          <w:rFonts w:hint="eastAsia" w:ascii="Times New Roman" w:hAnsi="Times New Roman" w:eastAsia="仿宋_GB2312" w:cs="Times New Roman"/>
          <w:bCs/>
          <w:sz w:val="32"/>
          <w:szCs w:val="21"/>
          <w:lang w:val="en-US" w:eastAsia="zh-CN"/>
        </w:rPr>
        <w:t>5</w:t>
      </w:r>
      <w:r>
        <w:rPr>
          <w:rFonts w:hint="default" w:ascii="Times New Roman" w:hAnsi="Times New Roman" w:eastAsia="仿宋_GB2312" w:cs="Times New Roman"/>
          <w:bCs/>
          <w:sz w:val="32"/>
          <w:szCs w:val="21"/>
        </w:rPr>
        <w:t>〕赣行复第</w:t>
      </w:r>
      <w:r>
        <w:rPr>
          <w:rFonts w:hint="eastAsia" w:ascii="Times New Roman" w:hAnsi="Times New Roman" w:eastAsia="仿宋_GB2312" w:cs="Times New Roman"/>
          <w:bCs/>
          <w:sz w:val="32"/>
          <w:szCs w:val="21"/>
          <w:lang w:val="en-US" w:eastAsia="zh-CN"/>
        </w:rPr>
        <w:t>325</w:t>
      </w:r>
      <w:r>
        <w:rPr>
          <w:rFonts w:hint="default" w:ascii="Times New Roman" w:hAnsi="Times New Roman" w:eastAsia="仿宋_GB2312" w:cs="Times New Roman"/>
          <w:bCs/>
          <w:sz w:val="32"/>
          <w:szCs w:val="21"/>
        </w:rPr>
        <w:t>号</w:t>
      </w:r>
    </w:p>
    <w:p w14:paraId="6E25FDF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rPr>
      </w:pPr>
    </w:p>
    <w:p w14:paraId="62C1879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w:t>
      </w:r>
      <w:r>
        <w:rPr>
          <w:rFonts w:hint="eastAsia" w:ascii="Times New Roman" w:hAnsi="Times New Roman" w:eastAsia="仿宋_GB2312" w:cs="Times New Roman"/>
          <w:sz w:val="32"/>
          <w:lang w:val="en-US" w:eastAsia="zh-CN"/>
        </w:rPr>
        <w:t>黄某</w:t>
      </w:r>
      <w:r>
        <w:rPr>
          <w:rFonts w:hint="default" w:ascii="Times New Roman" w:hAnsi="Times New Roman" w:eastAsia="仿宋_GB2312" w:cs="Times New Roman"/>
          <w:sz w:val="32"/>
          <w:lang w:val="en-US" w:eastAsia="zh-CN"/>
        </w:rPr>
        <w:t>。</w:t>
      </w:r>
    </w:p>
    <w:p w14:paraId="25DE4D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被申请人：连云港市赣榆区市场监督管理局。</w:t>
      </w:r>
    </w:p>
    <w:p w14:paraId="67D0201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w:t>
      </w:r>
      <w:bookmarkStart w:id="0" w:name="_GoBack"/>
      <w:r>
        <w:rPr>
          <w:rFonts w:hint="eastAsia" w:ascii="Times New Roman" w:hAnsi="Times New Roman" w:eastAsia="仿宋_GB2312" w:cs="Times New Roman"/>
          <w:sz w:val="32"/>
          <w:lang w:val="en-US" w:eastAsia="zh-CN"/>
        </w:rPr>
        <w:t>黄某不服被申请人连云港市赣榆区市场监督管理局对投诉连云港某食品有限公司城西分公司（以下称被投诉人）的处理</w:t>
      </w:r>
      <w:bookmarkEnd w:id="0"/>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于2025年</w:t>
      </w:r>
      <w:r>
        <w:rPr>
          <w:rFonts w:hint="eastAsia" w:ascii="Times New Roman" w:hAnsi="Times New Roman" w:eastAsia="仿宋_GB2312" w:cs="Times New Roman"/>
          <w:sz w:val="32"/>
          <w:lang w:val="en-US" w:eastAsia="zh-CN"/>
        </w:rPr>
        <w:t>11</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6</w:t>
      </w:r>
      <w:r>
        <w:rPr>
          <w:rFonts w:hint="default" w:ascii="Times New Roman" w:hAnsi="Times New Roman" w:eastAsia="仿宋_GB2312" w:cs="Times New Roman"/>
          <w:sz w:val="32"/>
          <w:lang w:val="en-US" w:eastAsia="zh-CN"/>
        </w:rPr>
        <w:t>日向本机关申请行政复议，本机关于</w:t>
      </w:r>
      <w:r>
        <w:rPr>
          <w:rFonts w:hint="eastAsia" w:ascii="Times New Roman" w:hAnsi="Times New Roman" w:eastAsia="仿宋_GB2312" w:cs="Times New Roman"/>
          <w:sz w:val="32"/>
          <w:lang w:val="en-US" w:eastAsia="zh-CN"/>
        </w:rPr>
        <w:t>11</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12</w:t>
      </w:r>
      <w:r>
        <w:rPr>
          <w:rFonts w:hint="default" w:ascii="Times New Roman" w:hAnsi="Times New Roman" w:eastAsia="仿宋_GB2312" w:cs="Times New Roman"/>
          <w:sz w:val="32"/>
          <w:lang w:val="en-US" w:eastAsia="zh-CN"/>
        </w:rPr>
        <w:t>日受理，并适用</w:t>
      </w:r>
      <w:r>
        <w:rPr>
          <w:rFonts w:hint="eastAsia" w:ascii="Times New Roman" w:hAnsi="Times New Roman" w:eastAsia="仿宋_GB2312" w:cs="Times New Roman"/>
          <w:sz w:val="32"/>
          <w:lang w:val="en-US" w:eastAsia="zh-CN"/>
        </w:rPr>
        <w:t>普通</w:t>
      </w:r>
      <w:r>
        <w:rPr>
          <w:rFonts w:hint="default" w:ascii="Times New Roman" w:hAnsi="Times New Roman" w:eastAsia="仿宋_GB2312" w:cs="Times New Roman"/>
          <w:sz w:val="32"/>
          <w:lang w:val="en-US" w:eastAsia="zh-CN"/>
        </w:rPr>
        <w:t>程序审理。被申请人在规定期限内向本机关提交了书面答复材料及证据材料。本案现已审理终结。</w:t>
      </w:r>
    </w:p>
    <w:p w14:paraId="6AACAF8C">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被申请人于2025年9月1日收到申请人邮寄的投诉举报信（XB2208897****），称其购买了被投诉人生产的肉松海苔卷未规范标注配料表名称、产品标签模糊不清、违反GB 7718的规定，要求赔偿、查处、奖励、书面告知等，预留手机号码1818597****、1337969****，并标注短信功能已关闭、无法接收短信。被</w:t>
      </w:r>
      <w:r>
        <w:rPr>
          <w:rFonts w:hint="eastAsia" w:ascii="Times New Roman" w:hAnsi="Times New Roman" w:eastAsia="仿宋_GB2312" w:cs="Times New Roman"/>
          <w:sz w:val="32"/>
          <w:lang w:val="en-US" w:eastAsia="zh-CN"/>
        </w:rPr>
        <w:t>申请人于2025年9月5日受理该投诉，</w:t>
      </w:r>
      <w:r>
        <w:rPr>
          <w:rFonts w:hint="eastAsia" w:ascii="Times New Roman" w:hAnsi="Times New Roman" w:eastAsia="仿宋_GB2312" w:cs="Times New Roman"/>
          <w:b w:val="0"/>
          <w:bCs w:val="0"/>
          <w:sz w:val="32"/>
          <w:lang w:val="en-US" w:eastAsia="zh-CN"/>
        </w:rPr>
        <w:t>并于当日通过短信告知申请人（接收号码：1818597****），显示发送成功。被投诉人于9月22日明确拒绝调解，被申请人当日决定终止调解，并作出投诉终止调解决定书（</w:t>
      </w:r>
      <w:r>
        <w:rPr>
          <w:rFonts w:hint="eastAsia" w:ascii="Times New Roman" w:hAnsi="Times New Roman" w:eastAsia="仿宋_GB2312" w:cs="Times New Roman"/>
          <w:sz w:val="32"/>
          <w:lang w:val="en-US" w:eastAsia="zh-CN"/>
        </w:rPr>
        <w:t>赣市监投调终</w:t>
      </w:r>
      <w:r>
        <w:rPr>
          <w:rFonts w:hint="default" w:ascii="Times New Roman" w:hAnsi="Times New Roman" w:eastAsia="仿宋_GB2312" w:cs="Times New Roman"/>
          <w:b w:val="0"/>
          <w:bCs w:val="0"/>
          <w:sz w:val="32"/>
          <w:lang w:val="en-US" w:eastAsia="zh-CN"/>
        </w:rPr>
        <w:t>〔</w:t>
      </w:r>
      <w:r>
        <w:rPr>
          <w:rFonts w:hint="eastAsia" w:ascii="Times New Roman" w:hAnsi="Times New Roman" w:eastAsia="仿宋_GB2312" w:cs="Times New Roman"/>
          <w:b w:val="0"/>
          <w:bCs w:val="0"/>
          <w:sz w:val="32"/>
          <w:lang w:val="en-US" w:eastAsia="zh-CN"/>
        </w:rPr>
        <w:t>2025</w:t>
      </w:r>
      <w:r>
        <w:rPr>
          <w:rFonts w:hint="default" w:ascii="Times New Roman" w:hAnsi="Times New Roman" w:eastAsia="仿宋_GB2312" w:cs="Times New Roman"/>
          <w:b w:val="0"/>
          <w:bCs w:val="0"/>
          <w:sz w:val="32"/>
          <w:lang w:val="en-US" w:eastAsia="zh-CN"/>
        </w:rPr>
        <w:t>〕</w:t>
      </w:r>
      <w:r>
        <w:rPr>
          <w:rFonts w:hint="eastAsia" w:ascii="Times New Roman" w:hAnsi="Times New Roman" w:eastAsia="仿宋_GB2312" w:cs="Times New Roman"/>
          <w:b w:val="0"/>
          <w:bCs w:val="0"/>
          <w:sz w:val="32"/>
          <w:lang w:val="en-US" w:eastAsia="zh-CN"/>
        </w:rPr>
        <w:t>第CX092201号），后于9月23日通过短信告知申请人（接收号码：1818597****），显示发送成功。</w:t>
      </w:r>
      <w:r>
        <w:rPr>
          <w:rFonts w:hint="eastAsia" w:ascii="Times New Roman" w:hAnsi="Times New Roman" w:eastAsia="仿宋_GB2312" w:cs="Times New Roman"/>
          <w:b w:val="0"/>
          <w:bCs/>
          <w:sz w:val="32"/>
          <w:szCs w:val="21"/>
          <w:lang w:val="en-US" w:eastAsia="zh-CN"/>
        </w:rPr>
        <w:t>申请人认为被申请人未履行投诉受理告知义务，遂提起行政复议。</w:t>
      </w:r>
    </w:p>
    <w:p w14:paraId="6C9CBBF5">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default" w:ascii="Times New Roman" w:hAnsi="Times New Roman" w:eastAsia="仿宋_GB2312" w:cs="Times New Roman"/>
          <w:b w:val="0"/>
          <w:bCs/>
          <w:sz w:val="32"/>
          <w:szCs w:val="21"/>
          <w:lang w:val="en-US" w:eastAsia="zh-CN"/>
        </w:rPr>
      </w:pPr>
      <w:r>
        <w:rPr>
          <w:rFonts w:hint="default" w:ascii="Times New Roman" w:hAnsi="Times New Roman" w:eastAsia="仿宋_GB2312" w:cs="Times New Roman"/>
          <w:b w:val="0"/>
          <w:bCs/>
          <w:sz w:val="32"/>
          <w:szCs w:val="21"/>
          <w:lang w:val="en-US" w:eastAsia="zh-CN"/>
        </w:rPr>
        <w:t>另查明，</w:t>
      </w:r>
      <w:r>
        <w:rPr>
          <w:rFonts w:hint="eastAsia" w:ascii="Times New Roman" w:hAnsi="Times New Roman" w:eastAsia="仿宋_GB2312" w:cs="Times New Roman"/>
          <w:b w:val="0"/>
          <w:bCs/>
          <w:sz w:val="32"/>
          <w:szCs w:val="21"/>
          <w:lang w:val="en-US" w:eastAsia="zh-CN"/>
        </w:rPr>
        <w:t>据不完全统计，</w:t>
      </w:r>
      <w:r>
        <w:rPr>
          <w:rFonts w:hint="default" w:ascii="Times New Roman" w:hAnsi="Times New Roman" w:eastAsia="仿宋_GB2312" w:cs="Times New Roman"/>
          <w:b w:val="0"/>
          <w:bCs/>
          <w:sz w:val="32"/>
          <w:szCs w:val="21"/>
          <w:lang w:val="en-US" w:eastAsia="zh-CN"/>
        </w:rPr>
        <w:t>申请人累计投诉</w:t>
      </w:r>
      <w:r>
        <w:rPr>
          <w:rFonts w:hint="eastAsia" w:ascii="Times New Roman" w:hAnsi="Times New Roman" w:eastAsia="仿宋_GB2312" w:cs="Times New Roman"/>
          <w:b w:val="0"/>
          <w:bCs/>
          <w:sz w:val="32"/>
          <w:szCs w:val="21"/>
          <w:lang w:val="en-US" w:eastAsia="zh-CN"/>
        </w:rPr>
        <w:t>1322</w:t>
      </w:r>
      <w:r>
        <w:rPr>
          <w:rFonts w:hint="default" w:ascii="Times New Roman" w:hAnsi="Times New Roman" w:eastAsia="仿宋_GB2312" w:cs="Times New Roman"/>
          <w:b w:val="0"/>
          <w:bCs/>
          <w:sz w:val="32"/>
          <w:szCs w:val="21"/>
          <w:lang w:val="en-US" w:eastAsia="zh-CN"/>
        </w:rPr>
        <w:t>次，举报</w:t>
      </w:r>
      <w:r>
        <w:rPr>
          <w:rFonts w:hint="eastAsia" w:ascii="Times New Roman" w:hAnsi="Times New Roman" w:eastAsia="仿宋_GB2312" w:cs="Times New Roman"/>
          <w:b w:val="0"/>
          <w:bCs/>
          <w:sz w:val="32"/>
          <w:szCs w:val="21"/>
          <w:lang w:val="en-US" w:eastAsia="zh-CN"/>
        </w:rPr>
        <w:t>805</w:t>
      </w:r>
      <w:r>
        <w:rPr>
          <w:rFonts w:hint="default" w:ascii="Times New Roman" w:hAnsi="Times New Roman" w:eastAsia="仿宋_GB2312" w:cs="Times New Roman"/>
          <w:b w:val="0"/>
          <w:bCs/>
          <w:sz w:val="32"/>
          <w:szCs w:val="21"/>
          <w:lang w:val="en-US" w:eastAsia="zh-CN"/>
        </w:rPr>
        <w:t>次</w:t>
      </w:r>
      <w:r>
        <w:rPr>
          <w:rFonts w:hint="eastAsia" w:ascii="Times New Roman" w:hAnsi="Times New Roman" w:eastAsia="仿宋_GB2312" w:cs="Times New Roman"/>
          <w:b w:val="0"/>
          <w:bCs/>
          <w:sz w:val="32"/>
          <w:szCs w:val="21"/>
          <w:lang w:val="en-US" w:eastAsia="zh-CN"/>
        </w:rPr>
        <w:t>，且针对投诉举报处理提起大量行政复议</w:t>
      </w:r>
      <w:r>
        <w:rPr>
          <w:rFonts w:hint="default" w:ascii="Times New Roman" w:hAnsi="Times New Roman" w:eastAsia="仿宋_GB2312" w:cs="Times New Roman"/>
          <w:b w:val="0"/>
          <w:bCs/>
          <w:sz w:val="32"/>
          <w:szCs w:val="21"/>
          <w:lang w:val="en-US" w:eastAsia="zh-CN"/>
        </w:rPr>
        <w:t>。</w:t>
      </w:r>
      <w:r>
        <w:rPr>
          <w:rFonts w:hint="eastAsia" w:ascii="Times New Roman" w:hAnsi="Times New Roman" w:eastAsia="仿宋_GB2312" w:cs="Times New Roman"/>
          <w:b w:val="0"/>
          <w:bCs/>
          <w:sz w:val="32"/>
          <w:szCs w:val="21"/>
          <w:lang w:val="en-US" w:eastAsia="zh-CN"/>
        </w:rPr>
        <w:t>其中，近两年仅</w:t>
      </w:r>
      <w:r>
        <w:rPr>
          <w:rFonts w:hint="default" w:ascii="Times New Roman" w:hAnsi="Times New Roman" w:eastAsia="仿宋_GB2312" w:cs="Times New Roman"/>
          <w:b w:val="0"/>
          <w:bCs/>
          <w:sz w:val="32"/>
          <w:szCs w:val="21"/>
          <w:lang w:val="en-US" w:eastAsia="zh-CN"/>
        </w:rPr>
        <w:t>在赣榆区投诉举报</w:t>
      </w:r>
      <w:r>
        <w:rPr>
          <w:rFonts w:hint="eastAsia" w:ascii="Times New Roman" w:hAnsi="Times New Roman" w:eastAsia="仿宋_GB2312" w:cs="Times New Roman"/>
          <w:b w:val="0"/>
          <w:bCs/>
          <w:sz w:val="32"/>
          <w:szCs w:val="21"/>
          <w:lang w:val="en-US" w:eastAsia="zh-CN"/>
        </w:rPr>
        <w:t>42</w:t>
      </w:r>
      <w:r>
        <w:rPr>
          <w:rFonts w:hint="default" w:ascii="Times New Roman" w:hAnsi="Times New Roman" w:eastAsia="仿宋_GB2312" w:cs="Times New Roman"/>
          <w:b w:val="0"/>
          <w:bCs/>
          <w:sz w:val="32"/>
          <w:szCs w:val="21"/>
          <w:lang w:val="en-US" w:eastAsia="zh-CN"/>
        </w:rPr>
        <w:t>件。</w:t>
      </w:r>
    </w:p>
    <w:p w14:paraId="772E59A2">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default"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上述事实，有申请人、被申请人提交的证据及本机关调取的申请人投诉举报汇总表证实。</w:t>
      </w:r>
    </w:p>
    <w:p w14:paraId="47B2218B">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cs="Times New Roman"/>
          <w:b w:val="0"/>
          <w:bCs/>
          <w:sz w:val="32"/>
          <w:szCs w:val="21"/>
          <w:lang w:val="en-US" w:eastAsia="zh-CN"/>
        </w:rPr>
        <w:t>《中华人民共和国行政复议法》第一条规定：“为了防止和纠正违法的或者不当的行政行为，保护公民、法人和其他组织的合法权益，监督和保障行政机关依法行使职权，发挥行政复议化解行政争议的主渠道作用，推进法治政府建设，根据宪法，制定本法。”第二条第一款规定：“公民、法人或者其他组织认为行政机关的行政行为侵犯其合法权益，向行政复议机关提出行政复议申请，行政复议机关办理行政复议案件，适用本法。”第三十条第一款第（二）项规定：“行政复议机关收到行政复议申请后，应当在五日内进行审查。对符合下列规定的，行政复议机关应当予以受理：……（二）申请人与被申请行政复议的行政行为有利害关系……”根据上述规定，行政复议申请人资格应当以与行政行为有利害关系为前提，即申请人的合法权益可能受到行政行为的侵害，且该侵害对申请人的合法权益产生的影响具有直接关联性。本案中，据不完全统计，申请人累计投诉举报2000余次，应保持手机收发短信基本功能畅通。申请人提出投诉举报，又称其手机未开通短信功能，要求被申请人书面告知，明显不具有合理性。根据市场监督管理部门依法行政的要求，既要保障投诉举报人对案件处理信息知悉的法定权利，也要综合考量市场监督管理部门行政管理成本和执法效率，在法律法规没有规定对投诉举报告知必须采取书面形式的情况下，被申请人根据国家市场监督管理总局制发的处理投诉举报文书式样，通过短信告知这一便捷方式告知投诉举报人处理结果，对投诉举报人权利并无不利影响，也不违反法律规定，并无不当，申请人的复议申请缺乏权利基础。另申请人过度频繁购买商品后再投诉举报，其行为已经超越了普通消费者基于维护自身合法权益而进行的投诉举报行为，不属于《中华人民共和国消费者权益保护法》及相关司法解释规定的受保护的消费者。故申请人与被申请人就其投诉作出的处理行为没有利害关系，申请人针对该投诉处理行为提起的行政复议申请，依法不应受理，鉴于已经受理，应予以驳回申请。</w:t>
      </w:r>
    </w:p>
    <w:p w14:paraId="11D5728C">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此外，当事人行使复议权应当具有值得通过复议程序予以保护的正当利益，不得有非建立在诚信行为基础上的恶意复议行为。申请人针对市监部门对其大量投诉举报进行的处理提起大量行政复议，超出了必要、合理的限度。尤为关键的是，申请人在投诉举报时主动提供手机号码等联系方式，却在被申请人通过短信告知其举报处理结果后仍以未告知为由提起复议。这足以证明，申请人主观上并非为了解决消费争议，其行为主观恶意明显，已偏离权利救济的正当目的，构成滥用行政复议权利。行政复议资源是有限且宝贵的公共资源，旨在为确有救济需求的申请人提供公正高效的救济渠道。申请人的行为不仅挤占和耗费了本已紧张的行政复议资源、严重扰乱了正常的市场监管秩序和行政复议秩序，也使真正需要救济的申请人难以获得及时的救济。故对申请人滥用行政复议权利的行为，复议机关应当予以遏制。</w:t>
      </w:r>
    </w:p>
    <w:p w14:paraId="3B3680A7">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综上，根据《中华人民共和国行政复议法》第三十条第一款第（二）项、第三十三条规定，本机关决定如下：</w:t>
      </w:r>
    </w:p>
    <w:p w14:paraId="10FDE789">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驳回申请人黄某的行政复议申请。</w:t>
      </w:r>
    </w:p>
    <w:p w14:paraId="7835517C">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为避免浪费行政复议资源，今后对于黄某提交的相同或者类似的行政复议申请材料，本机关不再重复处理。</w:t>
      </w:r>
    </w:p>
    <w:p w14:paraId="1586AAD9">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申请人如不服本决定，可以自接到本决定之日起15日内依法向连云港市中级人民法院提起行政诉讼。</w:t>
      </w:r>
    </w:p>
    <w:p w14:paraId="3EC090B7">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p>
    <w:p w14:paraId="38ECC433">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p>
    <w:p w14:paraId="0B5D12A8">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default" w:ascii="Times New Roman" w:hAnsi="Times New Roman" w:eastAsia="仿宋_GB2312" w:cs="Times New Roman"/>
          <w:b w:val="0"/>
          <w:bCs/>
          <w:sz w:val="32"/>
          <w:szCs w:val="21"/>
          <w:lang w:val="en-US" w:eastAsia="zh-CN"/>
        </w:rPr>
      </w:pPr>
    </w:p>
    <w:p w14:paraId="32C8EDE7">
      <w:pPr>
        <w:keepNext w:val="0"/>
        <w:keepLines w:val="0"/>
        <w:pageBreakBefore w:val="0"/>
        <w:widowControl w:val="0"/>
        <w:kinsoku/>
        <w:wordWrap w:val="0"/>
        <w:overflowPunct/>
        <w:topLinePunct w:val="0"/>
        <w:autoSpaceDE/>
        <w:autoSpaceDN/>
        <w:bidi w:val="0"/>
        <w:adjustRightInd w:val="0"/>
        <w:snapToGrid w:val="0"/>
        <w:spacing w:line="560" w:lineRule="exact"/>
        <w:ind w:firstLine="610"/>
        <w:jc w:val="right"/>
        <w:textAlignment w:val="auto"/>
        <w:rPr>
          <w:rFonts w:hint="default"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val="0"/>
          <w:bCs/>
          <w:sz w:val="32"/>
          <w:szCs w:val="21"/>
          <w:lang w:val="en-US" w:eastAsia="zh-CN"/>
        </w:rPr>
        <w:t xml:space="preserve">2025年12月16日        </w:t>
      </w:r>
    </w:p>
    <w:p w14:paraId="7FCBE46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right="0"/>
        <w:jc w:val="both"/>
        <w:textAlignment w:val="auto"/>
        <w:rPr>
          <w:rFonts w:hint="eastAsia" w:ascii="Times New Roman" w:hAnsi="Times New Roman" w:eastAsia="仿宋_GB2312"/>
          <w:sz w:val="32"/>
        </w:rPr>
      </w:pPr>
      <w:r>
        <w:rPr>
          <w:rFonts w:hint="eastAsia"/>
          <w:highlight w:val="none"/>
        </w:rPr>
        <w:br w:type="page"/>
      </w:r>
      <w:r>
        <w:rPr>
          <w:rFonts w:hint="eastAsia" w:ascii="Times New Roman" w:hAnsi="Times New Roman" w:eastAsia="仿宋_GB2312"/>
          <w:sz w:val="32"/>
        </w:rPr>
        <w:t>附：本决定适用的相关法律依据：</w:t>
      </w:r>
    </w:p>
    <w:p w14:paraId="0E8E424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3" w:firstLineChars="200"/>
        <w:jc w:val="both"/>
        <w:textAlignment w:val="auto"/>
        <w:rPr>
          <w:rFonts w:hint="eastAsia" w:ascii="Times New Roman" w:hAnsi="Times New Roman" w:eastAsia="仿宋_GB2312"/>
          <w:b/>
          <w:bCs/>
          <w:sz w:val="32"/>
        </w:rPr>
      </w:pPr>
      <w:r>
        <w:rPr>
          <w:rFonts w:hint="eastAsia" w:ascii="Times New Roman" w:hAnsi="Times New Roman" w:eastAsia="仿宋_GB2312"/>
          <w:b/>
          <w:bCs/>
          <w:sz w:val="32"/>
        </w:rPr>
        <w:t>《中华人民共和国行政复议法》</w:t>
      </w:r>
    </w:p>
    <w:p w14:paraId="157138B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14:paraId="522DFC5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第二条　公民、法人或者其他组织认为行政机关的行政行为侵犯其合法权益，向行政复议机关提出行政复议申请，行政复议机关办理行政复议案件，适用本法。</w:t>
      </w:r>
      <w:r>
        <w:rPr>
          <w:rFonts w:hint="eastAsia" w:ascii="Times New Roman" w:hAnsi="Times New Roman" w:eastAsia="仿宋_GB2312"/>
          <w:sz w:val="32"/>
          <w:lang w:val="en-US" w:eastAsia="zh-CN"/>
        </w:rPr>
        <w:br w:type="textWrapping"/>
      </w:r>
      <w:r>
        <w:rPr>
          <w:rFonts w:hint="eastAsia" w:ascii="Times New Roman" w:hAnsi="Times New Roman" w:eastAsia="仿宋_GB2312"/>
          <w:sz w:val="32"/>
          <w:lang w:val="en-US" w:eastAsia="zh-CN"/>
        </w:rPr>
        <w:t>　　前款所称行政行为，包括法律、法规、规章授权的组织的行政行为。</w:t>
      </w:r>
    </w:p>
    <w:p w14:paraId="3B5C61C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第三十条　行政复议机关收到行政复议申请后，应当在五日内进行审查。对符合下列规定的，行政复议机关应当予以受理：</w:t>
      </w:r>
    </w:p>
    <w:p w14:paraId="1939ED9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（一）有明确的申请人和符合本法规定的被申请人；</w:t>
      </w:r>
    </w:p>
    <w:p w14:paraId="0DE61AD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（二）申请人与被申请行政复议的行政行为有利害关系；</w:t>
      </w:r>
    </w:p>
    <w:p w14:paraId="615E373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（三）有具体的行政复议请求和理由；</w:t>
      </w:r>
    </w:p>
    <w:p w14:paraId="03F88DE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（四）在法定申请期限内提出；</w:t>
      </w:r>
    </w:p>
    <w:p w14:paraId="746999D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（五）属于本法规定的行政复议范围；</w:t>
      </w:r>
    </w:p>
    <w:p w14:paraId="119CF60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（六）属于本机关的管辖范围；</w:t>
      </w:r>
    </w:p>
    <w:p w14:paraId="214FD70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（七）行政复议机关未受理过该申请人就同一行政行为提出的行政复议申请，并且人民法院未受理过该申请人就同一行政行为提起的行政诉讼。</w:t>
      </w:r>
    </w:p>
    <w:p w14:paraId="532DD5F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对不符合前款规定的行政复议申请，行政复议机关应当在审查期限内决定不予受理并说明理由；不属于本机关管辖的，还应当在不予受理决定中告知申请人有管辖权的行政复议机关。</w:t>
      </w:r>
    </w:p>
    <w:p w14:paraId="44CE4E8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w:t>
      </w:r>
    </w:p>
    <w:p w14:paraId="0A8A554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第三十三条　行政复议机关受理行政复议申请后，发现该行政复议申请不符合本法第三十条第一款规定的，应当决定驳回申请并说明理由。</w:t>
      </w:r>
    </w:p>
    <w:p w14:paraId="1CCE53F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rPr>
      </w:pPr>
    </w:p>
    <w:p w14:paraId="27B6347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eastAsia" w:ascii="Times New Roman" w:hAnsi="Times New Roman" w:eastAsia="仿宋_GB2312"/>
          <w:sz w:val="32"/>
          <w:lang w:val="en-US" w:eastAsia="zh-CN"/>
        </w:rPr>
      </w:pPr>
    </w:p>
    <w:sectPr>
      <w:footerReference r:id="rId3" w:type="default"/>
      <w:pgSz w:w="11906" w:h="16838"/>
      <w:pgMar w:top="1587"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0913D21"/>
    <w:rsid w:val="00D20B4D"/>
    <w:rsid w:val="02A46519"/>
    <w:rsid w:val="03062D2F"/>
    <w:rsid w:val="05FE23E4"/>
    <w:rsid w:val="08232E32"/>
    <w:rsid w:val="08C571E9"/>
    <w:rsid w:val="09167B59"/>
    <w:rsid w:val="09842C00"/>
    <w:rsid w:val="0A2A37A7"/>
    <w:rsid w:val="0B7E024F"/>
    <w:rsid w:val="0B996E37"/>
    <w:rsid w:val="0BDC6C08"/>
    <w:rsid w:val="0D746DD1"/>
    <w:rsid w:val="0FEA3617"/>
    <w:rsid w:val="10FF1C35"/>
    <w:rsid w:val="11FD79F3"/>
    <w:rsid w:val="12125727"/>
    <w:rsid w:val="12837EF9"/>
    <w:rsid w:val="13C20EF5"/>
    <w:rsid w:val="141259D8"/>
    <w:rsid w:val="17E53404"/>
    <w:rsid w:val="185419D8"/>
    <w:rsid w:val="18F25DD8"/>
    <w:rsid w:val="19033B41"/>
    <w:rsid w:val="19616ABA"/>
    <w:rsid w:val="19C239FC"/>
    <w:rsid w:val="1A271AB1"/>
    <w:rsid w:val="1A7A6085"/>
    <w:rsid w:val="1D3833BB"/>
    <w:rsid w:val="1D552DD9"/>
    <w:rsid w:val="1D5E3A3C"/>
    <w:rsid w:val="1DA43419"/>
    <w:rsid w:val="1E0565AE"/>
    <w:rsid w:val="1EAC2522"/>
    <w:rsid w:val="21DF2C72"/>
    <w:rsid w:val="229451CA"/>
    <w:rsid w:val="23356F51"/>
    <w:rsid w:val="234B0F30"/>
    <w:rsid w:val="24613E12"/>
    <w:rsid w:val="24B228BF"/>
    <w:rsid w:val="24C30629"/>
    <w:rsid w:val="2536704D"/>
    <w:rsid w:val="255D6CCF"/>
    <w:rsid w:val="26E31456"/>
    <w:rsid w:val="271909D4"/>
    <w:rsid w:val="28072F22"/>
    <w:rsid w:val="283F1F3C"/>
    <w:rsid w:val="2A375D41"/>
    <w:rsid w:val="2C5A1872"/>
    <w:rsid w:val="2C6D3C9C"/>
    <w:rsid w:val="2F522CD5"/>
    <w:rsid w:val="2FBB380D"/>
    <w:rsid w:val="30336FAA"/>
    <w:rsid w:val="3207424B"/>
    <w:rsid w:val="3251350A"/>
    <w:rsid w:val="33586275"/>
    <w:rsid w:val="336C6FEF"/>
    <w:rsid w:val="337771AE"/>
    <w:rsid w:val="343B01DB"/>
    <w:rsid w:val="35AB75E3"/>
    <w:rsid w:val="35B244CD"/>
    <w:rsid w:val="35CF507F"/>
    <w:rsid w:val="364610BA"/>
    <w:rsid w:val="36CE72EA"/>
    <w:rsid w:val="36EC3DAF"/>
    <w:rsid w:val="377E4FAF"/>
    <w:rsid w:val="377F0D27"/>
    <w:rsid w:val="37AE5168"/>
    <w:rsid w:val="383A6D0C"/>
    <w:rsid w:val="3859492E"/>
    <w:rsid w:val="38A8605B"/>
    <w:rsid w:val="39684404"/>
    <w:rsid w:val="3A287454"/>
    <w:rsid w:val="3A9C74FA"/>
    <w:rsid w:val="3B9F0CC3"/>
    <w:rsid w:val="3C833831"/>
    <w:rsid w:val="3CE04016"/>
    <w:rsid w:val="3E90786A"/>
    <w:rsid w:val="3EAF3CA0"/>
    <w:rsid w:val="3F7795D9"/>
    <w:rsid w:val="3FCF6A78"/>
    <w:rsid w:val="3FE70B5F"/>
    <w:rsid w:val="405A5D4B"/>
    <w:rsid w:val="41166258"/>
    <w:rsid w:val="43656471"/>
    <w:rsid w:val="43DE6DD5"/>
    <w:rsid w:val="44A70FCC"/>
    <w:rsid w:val="44EB79FC"/>
    <w:rsid w:val="457F0696"/>
    <w:rsid w:val="47BF212B"/>
    <w:rsid w:val="480A1F47"/>
    <w:rsid w:val="486A0C38"/>
    <w:rsid w:val="489D7EC1"/>
    <w:rsid w:val="4900334A"/>
    <w:rsid w:val="49064E04"/>
    <w:rsid w:val="49153299"/>
    <w:rsid w:val="491A08B0"/>
    <w:rsid w:val="4A0A0924"/>
    <w:rsid w:val="4ECD3CCE"/>
    <w:rsid w:val="4F2846B4"/>
    <w:rsid w:val="4FC053D7"/>
    <w:rsid w:val="522400A9"/>
    <w:rsid w:val="52481FEA"/>
    <w:rsid w:val="530C6CDE"/>
    <w:rsid w:val="53BF17C5"/>
    <w:rsid w:val="53C102A5"/>
    <w:rsid w:val="53FD6E04"/>
    <w:rsid w:val="54DE09E3"/>
    <w:rsid w:val="55FD133D"/>
    <w:rsid w:val="562E599A"/>
    <w:rsid w:val="567359ED"/>
    <w:rsid w:val="572A7F10"/>
    <w:rsid w:val="57FF2579"/>
    <w:rsid w:val="582E1E86"/>
    <w:rsid w:val="58C779E0"/>
    <w:rsid w:val="59B50A53"/>
    <w:rsid w:val="59B63CDD"/>
    <w:rsid w:val="5A517EA9"/>
    <w:rsid w:val="5A97282E"/>
    <w:rsid w:val="5C0F2BC3"/>
    <w:rsid w:val="5C3832E4"/>
    <w:rsid w:val="5CA72002"/>
    <w:rsid w:val="5DB1138B"/>
    <w:rsid w:val="5E08087F"/>
    <w:rsid w:val="5E0F1C0D"/>
    <w:rsid w:val="5E7EC773"/>
    <w:rsid w:val="5ED05841"/>
    <w:rsid w:val="5EF7101F"/>
    <w:rsid w:val="5FA97E40"/>
    <w:rsid w:val="601C5B05"/>
    <w:rsid w:val="609B59DA"/>
    <w:rsid w:val="6142054C"/>
    <w:rsid w:val="62D00ABF"/>
    <w:rsid w:val="631657EC"/>
    <w:rsid w:val="63402869"/>
    <w:rsid w:val="6440429D"/>
    <w:rsid w:val="65200BA4"/>
    <w:rsid w:val="65622F6B"/>
    <w:rsid w:val="66A3383B"/>
    <w:rsid w:val="6809591F"/>
    <w:rsid w:val="68B65AA7"/>
    <w:rsid w:val="68DB3760"/>
    <w:rsid w:val="68E414FB"/>
    <w:rsid w:val="69992CD3"/>
    <w:rsid w:val="6A617C95"/>
    <w:rsid w:val="6A745C1A"/>
    <w:rsid w:val="6AB21AFC"/>
    <w:rsid w:val="6DDF784E"/>
    <w:rsid w:val="6E8D386E"/>
    <w:rsid w:val="6EBD4F8D"/>
    <w:rsid w:val="6F71097A"/>
    <w:rsid w:val="70357BF9"/>
    <w:rsid w:val="703E3F17"/>
    <w:rsid w:val="71E7409F"/>
    <w:rsid w:val="73700F48"/>
    <w:rsid w:val="73C66DBA"/>
    <w:rsid w:val="754937FF"/>
    <w:rsid w:val="760065B4"/>
    <w:rsid w:val="76165DD7"/>
    <w:rsid w:val="7697080C"/>
    <w:rsid w:val="77B92EBE"/>
    <w:rsid w:val="7A9E45ED"/>
    <w:rsid w:val="7AB94F83"/>
    <w:rsid w:val="7B430CF1"/>
    <w:rsid w:val="7BB0282A"/>
    <w:rsid w:val="7C1C3A1B"/>
    <w:rsid w:val="7CF44DFF"/>
    <w:rsid w:val="7DD30A52"/>
    <w:rsid w:val="7DEE7639"/>
    <w:rsid w:val="7E1F5A45"/>
    <w:rsid w:val="7E494870"/>
    <w:rsid w:val="7E72E36E"/>
    <w:rsid w:val="7EE10F4C"/>
    <w:rsid w:val="7F5636E8"/>
    <w:rsid w:val="7F731C99"/>
    <w:rsid w:val="7F9A62E6"/>
    <w:rsid w:val="7FE74340"/>
    <w:rsid w:val="7FF84BC6"/>
    <w:rsid w:val="7FFE0AA4"/>
    <w:rsid w:val="8FAF56A8"/>
    <w:rsid w:val="97EFAEEC"/>
    <w:rsid w:val="9ECF2689"/>
    <w:rsid w:val="9FEF3C06"/>
    <w:rsid w:val="A7E3DDC5"/>
    <w:rsid w:val="AE2DB30B"/>
    <w:rsid w:val="B9DB19EF"/>
    <w:rsid w:val="BBE22C6A"/>
    <w:rsid w:val="BF9F9ABC"/>
    <w:rsid w:val="BFBF32D0"/>
    <w:rsid w:val="E2FEFCD2"/>
    <w:rsid w:val="EBEBA0A2"/>
    <w:rsid w:val="EBFD6B42"/>
    <w:rsid w:val="EFD753AE"/>
    <w:rsid w:val="F75F2886"/>
    <w:rsid w:val="FEBDC89C"/>
    <w:rsid w:val="FEEFDD2F"/>
    <w:rsid w:val="FF3FD45C"/>
    <w:rsid w:val="FF79DCE1"/>
    <w:rsid w:val="FF7D8B8E"/>
    <w:rsid w:val="FFDF0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character" w:customStyle="1" w:styleId="10">
    <w:name w:val="10"/>
    <w:basedOn w:val="8"/>
    <w:qFormat/>
    <w:uiPriority w:val="0"/>
    <w:rPr>
      <w:rFonts w:hint="default" w:ascii="Times New Roman" w:hAnsi="Times New Roman" w:cs="Times New Roman"/>
    </w:rPr>
  </w:style>
  <w:style w:type="character" w:customStyle="1" w:styleId="11">
    <w:name w:val="15"/>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2613</Words>
  <Characters>2733</Characters>
  <Lines>1</Lines>
  <Paragraphs>1</Paragraphs>
  <TotalTime>47</TotalTime>
  <ScaleCrop>false</ScaleCrop>
  <LinksUpToDate>false</LinksUpToDate>
  <CharactersWithSpaces>2740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2025-08-31T06:41:00Z</dcterms:created>
  <dc:creator>别</dc:creator>
  <cp:lastModifiedBy>董雪</cp:lastModifiedBy>
  <cp:lastPrinted>2025-12-02T15:58:00Z</cp:lastPrinted>
  <dcterms:modified xsi:type="dcterms:W3CDTF">2026-05-29T10:36:47Z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EFB388DC733FF849BFFB186A28ACF07C_43</vt:lpwstr>
  </property>
  <property fmtid="{D5CDD505-2E9C-101B-9397-08002B2CF9AE}" pid="4" name="KSOTemplateDocerSaveRecord">
    <vt:lpwstr>eyJoZGlkIjoiNmUyMjQxMjgyYmU2ZDg2MTlhNjU5NWIxNjBmODIyMGEiLCJ1c2VySWQiOiI2MjIwODAzNDQifQ==</vt:lpwstr>
  </property>
</Properties>
</file>