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16422">
      <w:pPr>
        <w:keepNext w:val="0"/>
        <w:keepLines w:val="0"/>
        <w:pageBreakBefore w:val="0"/>
        <w:widowControl w:val="0"/>
        <w:kinsoku/>
        <w:wordWrap/>
        <w:overflowPunct/>
        <w:topLinePunct w:val="0"/>
        <w:autoSpaceDE/>
        <w:autoSpaceDN/>
        <w:bidi w:val="0"/>
        <w:spacing w:line="540" w:lineRule="exact"/>
        <w:jc w:val="center"/>
        <w:textAlignment w:val="auto"/>
        <w:rPr>
          <w:rFonts w:hint="eastAsia" w:ascii="Times New Roman" w:hAnsi="Times New Roman" w:eastAsia="方正小标宋简体" w:cs="Courier New"/>
          <w:bCs/>
          <w:sz w:val="44"/>
          <w:szCs w:val="21"/>
        </w:rPr>
      </w:pPr>
      <w:r>
        <w:rPr>
          <w:rFonts w:hint="eastAsia" w:ascii="Times New Roman" w:hAnsi="Times New Roman" w:eastAsia="方正小标宋简体" w:cs="Courier New"/>
          <w:bCs/>
          <w:sz w:val="44"/>
          <w:szCs w:val="21"/>
        </w:rPr>
        <w:t>连云港市赣榆区人民政府</w:t>
      </w:r>
    </w:p>
    <w:p w14:paraId="6F24132A">
      <w:pPr>
        <w:keepNext w:val="0"/>
        <w:keepLines w:val="0"/>
        <w:pageBreakBefore w:val="0"/>
        <w:widowControl w:val="0"/>
        <w:kinsoku/>
        <w:wordWrap/>
        <w:overflowPunct/>
        <w:topLinePunct w:val="0"/>
        <w:autoSpaceDE/>
        <w:autoSpaceDN/>
        <w:bidi w:val="0"/>
        <w:spacing w:line="540" w:lineRule="exact"/>
        <w:jc w:val="center"/>
        <w:textAlignment w:val="auto"/>
        <w:rPr>
          <w:rFonts w:hint="eastAsia" w:ascii="Times New Roman" w:hAnsi="Times New Roman" w:eastAsia="方正小标宋简体" w:cs="Courier New"/>
          <w:bCs/>
          <w:sz w:val="44"/>
          <w:szCs w:val="21"/>
          <w:lang w:eastAsia="zh-CN"/>
        </w:rPr>
      </w:pPr>
      <w:r>
        <w:rPr>
          <w:rFonts w:hint="eastAsia" w:ascii="Times New Roman" w:hAnsi="Times New Roman" w:eastAsia="方正小标宋简体" w:cs="Courier New"/>
          <w:bCs/>
          <w:sz w:val="44"/>
          <w:szCs w:val="21"/>
        </w:rPr>
        <w:t>行政复议决定书</w:t>
      </w:r>
    </w:p>
    <w:p w14:paraId="0020FE52">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仿宋_GB2312" w:cs="Times New Roman"/>
          <w:b/>
          <w:bCs/>
        </w:rPr>
      </w:pPr>
    </w:p>
    <w:p w14:paraId="3425433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right"/>
        <w:textAlignment w:val="auto"/>
        <w:rPr>
          <w:rFonts w:hint="eastAsia" w:ascii="Times New Roman" w:hAnsi="Times New Roman" w:eastAsia="仿宋_GB2312" w:cs="Courier New"/>
          <w:bCs/>
          <w:sz w:val="32"/>
          <w:szCs w:val="21"/>
        </w:rPr>
      </w:pPr>
      <w:r>
        <w:rPr>
          <w:rFonts w:hint="default" w:ascii="Times New Roman" w:hAnsi="Times New Roman" w:eastAsia="仿宋_GB2312" w:cs="Courier New"/>
          <w:bCs/>
          <w:sz w:val="32"/>
          <w:szCs w:val="21"/>
        </w:rPr>
        <w:t>〔202</w:t>
      </w:r>
      <w:r>
        <w:rPr>
          <w:rFonts w:hint="eastAsia" w:ascii="Times New Roman" w:hAnsi="Times New Roman" w:eastAsia="仿宋_GB2312" w:cs="Courier New"/>
          <w:bCs/>
          <w:sz w:val="32"/>
          <w:szCs w:val="21"/>
          <w:lang w:val="en-US" w:eastAsia="zh-CN"/>
        </w:rPr>
        <w:t>5</w:t>
      </w:r>
      <w:r>
        <w:rPr>
          <w:rFonts w:hint="default" w:ascii="Times New Roman" w:hAnsi="Times New Roman" w:eastAsia="仿宋_GB2312" w:cs="Courier New"/>
          <w:bCs/>
          <w:sz w:val="32"/>
          <w:szCs w:val="21"/>
        </w:rPr>
        <w:t>〕赣行复第</w:t>
      </w:r>
      <w:r>
        <w:rPr>
          <w:rFonts w:hint="eastAsia" w:ascii="Times New Roman" w:hAnsi="Times New Roman" w:eastAsia="仿宋_GB2312" w:cs="Courier New"/>
          <w:bCs/>
          <w:sz w:val="32"/>
          <w:szCs w:val="21"/>
          <w:lang w:val="en-US" w:eastAsia="zh-CN"/>
        </w:rPr>
        <w:t>252</w:t>
      </w:r>
      <w:r>
        <w:rPr>
          <w:rFonts w:hint="default" w:ascii="Times New Roman" w:hAnsi="Times New Roman" w:eastAsia="仿宋_GB2312" w:cs="Courier New"/>
          <w:bCs/>
          <w:sz w:val="32"/>
          <w:szCs w:val="21"/>
        </w:rPr>
        <w:t>号</w:t>
      </w:r>
    </w:p>
    <w:p w14:paraId="6E25FDF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Courier New"/>
          <w:bCs/>
          <w:sz w:val="32"/>
          <w:szCs w:val="21"/>
        </w:rPr>
      </w:pPr>
    </w:p>
    <w:p w14:paraId="3226756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Courier New"/>
          <w:bCs/>
          <w:sz w:val="32"/>
          <w:szCs w:val="21"/>
        </w:rPr>
        <w:t>申请人：</w:t>
      </w:r>
      <w:r>
        <w:rPr>
          <w:rFonts w:hint="eastAsia" w:ascii="Times New Roman" w:hAnsi="Times New Roman" w:eastAsia="仿宋_GB2312" w:cs="Courier New"/>
          <w:bCs/>
          <w:sz w:val="32"/>
          <w:szCs w:val="21"/>
          <w:lang w:val="en-US" w:eastAsia="zh-CN"/>
        </w:rPr>
        <w:t>王某</w:t>
      </w:r>
      <w:r>
        <w:rPr>
          <w:rFonts w:hint="eastAsia" w:ascii="Times New Roman" w:hAnsi="Times New Roman" w:eastAsia="仿宋_GB2312" w:cs="Times New Roman"/>
          <w:sz w:val="32"/>
          <w:lang w:val="en-US" w:eastAsia="zh-CN"/>
        </w:rPr>
        <w:t>。</w:t>
      </w:r>
    </w:p>
    <w:p w14:paraId="5402FA5E">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被申请人：连云港市赣榆区市场监督。</w:t>
      </w:r>
    </w:p>
    <w:p w14:paraId="67D0201B">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申请人</w:t>
      </w:r>
      <w:bookmarkStart w:id="1" w:name="_GoBack"/>
      <w:r>
        <w:rPr>
          <w:rFonts w:hint="eastAsia" w:ascii="Times New Roman" w:hAnsi="Times New Roman" w:eastAsia="仿宋_GB2312" w:cs="Times New Roman"/>
          <w:sz w:val="32"/>
          <w:lang w:val="en-US" w:eastAsia="zh-CN"/>
        </w:rPr>
        <w:t>王某不服被申请人连云港市赣榆区市场监督管理局对举报江苏某食品有限公司（以下称被举报人）的处理</w:t>
      </w:r>
      <w:bookmarkEnd w:id="1"/>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于202</w:t>
      </w:r>
      <w:r>
        <w:rPr>
          <w:rFonts w:hint="eastAsia" w:ascii="Times New Roman" w:hAnsi="Times New Roman" w:eastAsia="仿宋_GB2312" w:cs="Times New Roman"/>
          <w:sz w:val="32"/>
          <w:lang w:val="en-US" w:eastAsia="zh-CN"/>
        </w:rPr>
        <w:t>5</w:t>
      </w:r>
      <w:r>
        <w:rPr>
          <w:rFonts w:hint="default" w:ascii="Times New Roman" w:hAnsi="Times New Roman" w:eastAsia="仿宋_GB2312" w:cs="Times New Roman"/>
          <w:sz w:val="32"/>
          <w:lang w:val="en-US" w:eastAsia="zh-CN"/>
        </w:rPr>
        <w:t>年</w:t>
      </w:r>
      <w:r>
        <w:rPr>
          <w:rFonts w:hint="eastAsia" w:ascii="Times New Roman" w:hAnsi="Times New Roman" w:eastAsia="仿宋_GB2312" w:cs="Times New Roman"/>
          <w:sz w:val="32"/>
          <w:lang w:val="en-US" w:eastAsia="zh-CN"/>
        </w:rPr>
        <w:t>9</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7</w:t>
      </w:r>
      <w:r>
        <w:rPr>
          <w:rFonts w:hint="default" w:ascii="Times New Roman" w:hAnsi="Times New Roman" w:eastAsia="仿宋_GB2312" w:cs="Times New Roman"/>
          <w:sz w:val="32"/>
          <w:lang w:val="en-US" w:eastAsia="zh-CN"/>
        </w:rPr>
        <w:t>日</w:t>
      </w:r>
      <w:r>
        <w:rPr>
          <w:rFonts w:hint="eastAsia" w:ascii="Times New Roman" w:hAnsi="Times New Roman" w:eastAsia="仿宋_GB2312" w:cs="Times New Roman"/>
          <w:sz w:val="32"/>
          <w:lang w:val="en-US" w:eastAsia="zh-CN"/>
        </w:rPr>
        <w:t>向本机关申请</w:t>
      </w:r>
      <w:r>
        <w:rPr>
          <w:rFonts w:hint="default" w:ascii="Times New Roman" w:hAnsi="Times New Roman" w:eastAsia="仿宋_GB2312" w:cs="Times New Roman"/>
          <w:sz w:val="32"/>
          <w:lang w:val="en-US" w:eastAsia="zh-CN"/>
        </w:rPr>
        <w:t>行政复议，本机关</w:t>
      </w:r>
      <w:r>
        <w:rPr>
          <w:rFonts w:hint="eastAsia" w:ascii="Times New Roman" w:hAnsi="Times New Roman" w:eastAsia="仿宋_GB2312" w:cs="Times New Roman"/>
          <w:sz w:val="32"/>
          <w:lang w:val="en-US" w:eastAsia="zh-CN"/>
        </w:rPr>
        <w:t>于9月10</w:t>
      </w:r>
      <w:r>
        <w:rPr>
          <w:rFonts w:hint="default" w:ascii="Times New Roman" w:hAnsi="Times New Roman" w:eastAsia="仿宋_GB2312" w:cs="Times New Roman"/>
          <w:sz w:val="32"/>
          <w:lang w:val="en-US" w:eastAsia="zh-CN"/>
        </w:rPr>
        <w:t>日</w:t>
      </w:r>
      <w:r>
        <w:rPr>
          <w:rFonts w:hint="eastAsia" w:ascii="Times New Roman" w:hAnsi="Times New Roman" w:eastAsia="仿宋_GB2312" w:cs="Times New Roman"/>
          <w:sz w:val="32"/>
          <w:lang w:val="en-US" w:eastAsia="zh-CN"/>
        </w:rPr>
        <w:t>依法已予</w:t>
      </w:r>
      <w:r>
        <w:rPr>
          <w:rFonts w:hint="default" w:ascii="Times New Roman" w:hAnsi="Times New Roman" w:eastAsia="仿宋_GB2312" w:cs="Times New Roman"/>
          <w:sz w:val="32"/>
          <w:lang w:val="en-US" w:eastAsia="zh-CN"/>
        </w:rPr>
        <w:t>受理，</w:t>
      </w:r>
      <w:r>
        <w:rPr>
          <w:rFonts w:hint="eastAsia" w:ascii="Times New Roman" w:hAnsi="Times New Roman" w:eastAsia="仿宋_GB2312" w:cs="Times New Roman"/>
          <w:sz w:val="32"/>
          <w:lang w:val="en-US" w:eastAsia="zh-CN"/>
        </w:rPr>
        <w:t>并适用普通程序审理。</w:t>
      </w:r>
      <w:r>
        <w:rPr>
          <w:rFonts w:hint="default" w:ascii="Times New Roman" w:hAnsi="Times New Roman" w:eastAsia="仿宋_GB2312" w:cs="Times New Roman"/>
          <w:sz w:val="32"/>
          <w:lang w:val="en-US" w:eastAsia="zh-CN"/>
        </w:rPr>
        <w:t>被申请人在规定期限内向本机关提交了书面答复材料</w:t>
      </w:r>
      <w:r>
        <w:rPr>
          <w:rFonts w:hint="eastAsia" w:ascii="Times New Roman" w:hAnsi="Times New Roman" w:eastAsia="仿宋_GB2312" w:cs="Times New Roman"/>
          <w:sz w:val="32"/>
          <w:lang w:val="en-US" w:eastAsia="zh-CN"/>
        </w:rPr>
        <w:t>及证据材料</w:t>
      </w:r>
      <w:r>
        <w:rPr>
          <w:rFonts w:hint="default" w:ascii="Times New Roman" w:hAnsi="Times New Roman" w:eastAsia="仿宋_GB2312" w:cs="Times New Roman"/>
          <w:sz w:val="32"/>
          <w:lang w:val="en-US" w:eastAsia="zh-CN"/>
        </w:rPr>
        <w:t>。本案现已审理终结。</w:t>
      </w:r>
    </w:p>
    <w:p w14:paraId="50DC99D5">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b/>
          <w:bCs/>
          <w:sz w:val="32"/>
          <w:lang w:val="en-US" w:eastAsia="zh-CN"/>
        </w:rPr>
        <w:t>申请人请求：</w:t>
      </w:r>
      <w:r>
        <w:rPr>
          <w:rFonts w:hint="eastAsia" w:ascii="Times New Roman" w:hAnsi="Times New Roman" w:eastAsia="仿宋_GB2312" w:cs="Times New Roman"/>
          <w:b w:val="0"/>
          <w:bCs w:val="0"/>
          <w:sz w:val="32"/>
          <w:lang w:val="en-US" w:eastAsia="zh-CN"/>
        </w:rPr>
        <w:t>1.</w:t>
      </w:r>
      <w:r>
        <w:rPr>
          <w:rFonts w:hint="eastAsia" w:ascii="Times New Roman" w:hAnsi="Times New Roman" w:eastAsia="仿宋_GB2312" w:cs="Times New Roman"/>
          <w:sz w:val="32"/>
          <w:lang w:val="en-US" w:eastAsia="zh-CN"/>
        </w:rPr>
        <w:t>撤销被申请人作出的不予立案决定。2.责令被申请人重新处理举报事项。</w:t>
      </w:r>
    </w:p>
    <w:p w14:paraId="5F61527E">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b/>
          <w:bCs/>
          <w:sz w:val="32"/>
          <w:lang w:val="en-US" w:eastAsia="zh-CN"/>
        </w:rPr>
        <w:t>申请人称：</w:t>
      </w:r>
      <w:r>
        <w:rPr>
          <w:rFonts w:hint="eastAsia" w:ascii="Times New Roman" w:hAnsi="Times New Roman" w:eastAsia="仿宋_GB2312" w:cs="Times New Roman"/>
          <w:sz w:val="32"/>
          <w:lang w:val="en-US" w:eastAsia="zh-CN"/>
        </w:rPr>
        <w:t>申请人于2025年7月28日通过全国12315平台向被申请人举报被举报人生产的“海苔肉松蛋卷”违反《饼干质量通则》（GB/T 20980-2021）第8.1条要求标示夹心（或注心）饼干单片分类名称，亦未标注理化指标。被申请人于8月14日作出不予立案决定，理由为“产品已标明类型：饼干（蛋卷），符合GB/T 20980-2021第4.9条分类规定”。</w:t>
      </w:r>
    </w:p>
    <w:p w14:paraId="6E5015F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申请人认为该决定存在以下错误：一、被申请人法律适用错误。《饼干质量通则》（GB/T 20980-2021）4.9条款仅规定蛋卷的产品大类归属，而第8.1条明确要求“夹心（或注心）饼干、装饰饼干、饼干碎应同时标示饼干单片的分类名称”。案涉产品含肉松夹心，属于夹心饼干范畴，却未标示单片分类名称，明显违反强制性标注要求。二、被申请人事实认定不清。被申请人未核查产品实际工艺是否符合蛋卷定义（蛋卷需以谷类粉为主要原料，经调浆、浇注或挂浆、烘烤成型），亦未要求企业提供生产工艺证明；被申请人未回应申请人关于理化指标缺失的举报内容。三、被申请人告知程序瑕疵。被申请人未依法告知申请人调查过程及证据依据，违反《市场监督管理行政处罚程序规定》的说明义务。</w:t>
      </w:r>
    </w:p>
    <w:p w14:paraId="1506AC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综上所述，被申请人作出的不予立案，事实认定不清、法律依据不足，严重损害申请人合法权益。请求复议机关依法全面审查，支持申请人的复议请求。</w:t>
      </w:r>
    </w:p>
    <w:p w14:paraId="03E5876D">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b/>
          <w:bCs/>
          <w:sz w:val="32"/>
          <w:lang w:val="en-US" w:eastAsia="zh-CN"/>
        </w:rPr>
        <w:t>申请人提交的证据：</w:t>
      </w:r>
      <w:r>
        <w:rPr>
          <w:rFonts w:hint="eastAsia" w:ascii="Times New Roman" w:hAnsi="Times New Roman" w:eastAsia="仿宋_GB2312" w:cs="Times New Roman"/>
          <w:sz w:val="32"/>
          <w:lang w:val="en-US" w:eastAsia="zh-CN"/>
        </w:rPr>
        <w:t>居民身份证照片、产品图片及购买记录、12315举报详情截图、理化指标要求截图。</w:t>
      </w:r>
    </w:p>
    <w:p w14:paraId="63B7F9B0">
      <w:pPr>
        <w:keepNext w:val="0"/>
        <w:keepLines w:val="0"/>
        <w:pageBreakBefore w:val="0"/>
        <w:widowControl w:val="0"/>
        <w:numPr>
          <w:ilvl w:val="0"/>
          <w:numId w:val="0"/>
        </w:numPr>
        <w:kinsoku/>
        <w:wordWrap/>
        <w:overflowPunct/>
        <w:topLinePunct w:val="0"/>
        <w:autoSpaceDE/>
        <w:autoSpaceDN/>
        <w:bidi w:val="0"/>
        <w:spacing w:line="540" w:lineRule="exact"/>
        <w:ind w:left="0" w:leftChars="0" w:firstLine="643"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b/>
          <w:bCs/>
          <w:sz w:val="32"/>
          <w:lang w:val="en-US" w:eastAsia="zh-CN"/>
        </w:rPr>
        <w:t>被</w:t>
      </w:r>
      <w:r>
        <w:rPr>
          <w:rFonts w:hint="default" w:ascii="Times New Roman" w:hAnsi="Times New Roman" w:eastAsia="仿宋_GB2312" w:cs="Times New Roman"/>
          <w:b/>
          <w:bCs/>
          <w:sz w:val="32"/>
          <w:lang w:val="en-US" w:eastAsia="zh-CN"/>
        </w:rPr>
        <w:t>申请人称：</w:t>
      </w:r>
      <w:r>
        <w:rPr>
          <w:rFonts w:hint="eastAsia" w:ascii="Times New Roman" w:hAnsi="Times New Roman" w:eastAsia="仿宋_GB2312" w:cs="Times New Roman"/>
          <w:sz w:val="32"/>
          <w:lang w:val="en-US" w:eastAsia="zh-CN"/>
        </w:rPr>
        <w:t>一、被申请人已依法履职，事实清楚，适用法律正确，程序合法。被申请人于2025年7月28日在全国12315平台收到申请人的举报材料，申请人称其于7月21日通过美团外卖购买了两罐海苔肉松蛋卷，根据《饼干质量通则》（GB/T 20980-2021）第8.1条规定，标签中应按第4章的规定标识分类名称，夹心（或注心）饼干、装饰饼干、饼干碎应同时标示饼干单片的分类名称，而该产品没有标识，并提供了理化标准。根据《市场监督管理行政处罚程序规定》第十八条第一款的规定，被申请人接到申请人的举报后，于8月5日到被举报人处进行核查。经查，被举报人食品生产品种明细为蛋卷（GB/T 20980），海苔（GB/T 23596），烘烤类糕点（酥层类）（GB/T 20977），花色型（GB/T 22699），根据GB/T 20980-2021中的产品分类：“4.9蛋卷 以谷类粉（和/或豆类、薯类粉）、蛋及蛋制品等为主要原料，添加或不添加糖、油脂等其他配料，经调浆、浇注或挂浆、烘烤制成的饼干”的规定，被举报产品已标明产品类型：饼干（蛋卷），不属于该标准8.1标签中的“夹心（或注心）饼干、装饰饼干、饼干碎”，不需要同时标示饼干单片的分类名称。被举报人提供了产品检测报告。报告载明水分检测结果2.52%≤4.0%、碱度（以碳酸钠计）检测结果0.21%≤0.3%，符合《饼干质量通则》（GB/T 20980-2021）5.3条款表2理化要求中蛋卷的标准，理化指标属于产品质量检测的范畴，不属于标签强制标注内容。故举报人举报的事项不成立，被申请人未发现被举报人存在违法行为，不符合《市场监督管理行政处罚程序规定》第十九条第一款第（一）项规定的立案条件，被申请人于8月14日作出不予立案决定，根据《市场监督管理投诉举报处理暂行办法》第三十一条的规定，于同日通过全国12315平台告知申请人不予立案情况。</w:t>
      </w:r>
    </w:p>
    <w:p w14:paraId="4A9558F7">
      <w:pPr>
        <w:keepNext w:val="0"/>
        <w:keepLines w:val="0"/>
        <w:pageBreakBefore w:val="0"/>
        <w:widowControl w:val="0"/>
        <w:numPr>
          <w:ilvl w:val="0"/>
          <w:numId w:val="0"/>
        </w:numPr>
        <w:kinsoku/>
        <w:wordWrap/>
        <w:overflowPunct/>
        <w:topLinePunct w:val="0"/>
        <w:autoSpaceDE/>
        <w:autoSpaceDN/>
        <w:bidi w:val="0"/>
        <w:spacing w:line="540" w:lineRule="exact"/>
        <w:ind w:left="0" w:leftChars="0"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 xml:space="preserve">二、申请人不具有行政复议申请人的资格。被申请人通过全国12315平台查询，申请人累计投诉558次、举报1349次。行为明显与正常消费者和一般举报人不符，申请人以购买商品作为连结点，然后以商品标签、虚假宣传为由提起大量投诉举报，以此向国家市场监管部门投诉举报进而牟取不正当利益。因此，申请人提起行政复议的目的已经超出维护自身合法权益的范畴，其与被申请人就投诉举报作出的处理行为没有利害关系，不具有行政复议资格。本案中，被申请人收到申请人的举报后，依法进行了处理，履行了对举报进行调查处理并答复的法定职责。申请人作为举报人向市场监管部门反映经营者存在违法行为，本质上系为市场监管部门履行监管职责提供线索，市场监管部门对符合条件的举报有依法接受并作出相应答复的义务，但是否启动对举报企业的查处以及如何查处，则应由市场监管部门依职权进行判断，其执法目的在于维护作为公共利益的市场秩序，执法行为的结果也主要是对涉事企业及市场秩序产生影响，对申请人个人的权利义务则不会产生实质影响。被申请人对申请人的举报事项不予立案，该告知系被申请人为维护作为公共利益的市场秩序，履行答复投诉举报的职责，该程序性的告知行为未对作为举报人的申请人的合法权益产生实际影响，在此情况下，申请人对被申请人不予立案的答复提起行政复议申请，明显缺乏利益基础，申请人的复议申请不符合《中华人民共和国行政复议法》第三十条第一款第二项的规定，申请人不具备行政复议申请人的资格。 </w:t>
      </w:r>
    </w:p>
    <w:p w14:paraId="526246EB">
      <w:pPr>
        <w:keepNext w:val="0"/>
        <w:keepLines w:val="0"/>
        <w:pageBreakBefore w:val="0"/>
        <w:widowControl w:val="0"/>
        <w:numPr>
          <w:ilvl w:val="0"/>
          <w:numId w:val="0"/>
        </w:numPr>
        <w:kinsoku/>
        <w:wordWrap/>
        <w:overflowPunct/>
        <w:topLinePunct w:val="0"/>
        <w:autoSpaceDE/>
        <w:autoSpaceDN/>
        <w:bidi w:val="0"/>
        <w:spacing w:line="540" w:lineRule="exact"/>
        <w:ind w:left="0" w:leftChars="0"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综上，被申请人已依法履行职责，申请人向被申请人提起的举报及向复议机关提起的行政复议系权利滥用，其提出行政复议的事实与理由均不成立，请依法驳回。</w:t>
      </w:r>
    </w:p>
    <w:p w14:paraId="709D692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cs="Times New Roman"/>
          <w:sz w:val="32"/>
          <w:lang w:val="en-US" w:eastAsia="zh-CN"/>
        </w:rPr>
      </w:pPr>
      <w:r>
        <w:rPr>
          <w:rFonts w:hint="default" w:ascii="Times New Roman" w:hAnsi="Times New Roman" w:eastAsia="仿宋_GB2312" w:cs="Times New Roman"/>
          <w:b/>
          <w:bCs w:val="0"/>
          <w:color w:val="auto"/>
          <w:sz w:val="32"/>
          <w:szCs w:val="21"/>
        </w:rPr>
        <w:t>被申请人提交证据：</w:t>
      </w:r>
      <w:r>
        <w:rPr>
          <w:rFonts w:hint="eastAsia" w:ascii="Times New Roman" w:hAnsi="Times New Roman" w:eastAsia="仿宋_GB2312" w:cs="Times New Roman"/>
          <w:b w:val="0"/>
          <w:bCs/>
          <w:color w:val="000000" w:themeColor="text1"/>
          <w:sz w:val="32"/>
          <w:szCs w:val="21"/>
          <w:lang w:val="en-US" w:eastAsia="zh-CN"/>
          <w14:textFill>
            <w14:solidFill>
              <w14:schemeClr w14:val="tx1"/>
            </w14:solidFill>
          </w14:textFill>
        </w:rPr>
        <w:t>举报单及附件材料、</w:t>
      </w:r>
      <w:r>
        <w:rPr>
          <w:rFonts w:hint="eastAsia" w:ascii="Times New Roman" w:hAnsi="Times New Roman" w:eastAsia="仿宋_GB2312" w:cs="Times New Roman"/>
          <w:b w:val="0"/>
          <w:bCs/>
          <w:sz w:val="32"/>
          <w:szCs w:val="21"/>
          <w:lang w:val="en-US" w:eastAsia="zh-CN"/>
        </w:rPr>
        <w:t>案件来源登记表</w:t>
      </w:r>
      <w:r>
        <w:rPr>
          <w:rFonts w:hint="eastAsia" w:ascii="Times New Roman" w:hAnsi="Times New Roman" w:eastAsia="仿宋_GB2312" w:cs="Times New Roman"/>
          <w:b/>
          <w:bCs w:val="0"/>
          <w:color w:val="auto"/>
          <w:sz w:val="32"/>
          <w:szCs w:val="21"/>
          <w:lang w:val="en-US" w:eastAsia="zh-CN"/>
        </w:rPr>
        <w:t>、</w:t>
      </w:r>
      <w:r>
        <w:rPr>
          <w:rFonts w:hint="eastAsia" w:ascii="Times New Roman" w:hAnsi="Times New Roman" w:eastAsia="仿宋_GB2312" w:cs="Times New Roman"/>
          <w:b w:val="0"/>
          <w:bCs/>
          <w:sz w:val="32"/>
          <w:szCs w:val="21"/>
          <w:lang w:val="en-US" w:eastAsia="zh-CN"/>
        </w:rPr>
        <w:t>被举报人食品生产许可证、食品生产许可品种明细表、被举报产品检测报告、不予立案审批表、举报不予立案告知书、全国12315平台截图2张。</w:t>
      </w:r>
    </w:p>
    <w:p w14:paraId="01AD4581">
      <w:pPr>
        <w:keepNext w:val="0"/>
        <w:keepLines w:val="0"/>
        <w:pageBreakBefore w:val="0"/>
        <w:widowControl w:val="0"/>
        <w:kinsoku/>
        <w:wordWrap/>
        <w:overflowPunct/>
        <w:topLinePunct w:val="0"/>
        <w:autoSpaceDE/>
        <w:autoSpaceDN/>
        <w:bidi w:val="0"/>
        <w:adjustRightInd w:val="0"/>
        <w:snapToGrid w:val="0"/>
        <w:spacing w:line="54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bCs/>
          <w:sz w:val="32"/>
          <w:lang w:val="en-US" w:eastAsia="zh-CN"/>
        </w:rPr>
        <w:t>经审理查明：</w:t>
      </w:r>
      <w:r>
        <w:rPr>
          <w:rFonts w:hint="eastAsia" w:ascii="Times New Roman" w:hAnsi="Times New Roman" w:eastAsia="仿宋_GB2312" w:cs="Times New Roman"/>
          <w:b w:val="0"/>
          <w:bCs/>
          <w:sz w:val="32"/>
          <w:szCs w:val="21"/>
          <w:lang w:val="en-US" w:eastAsia="zh-CN"/>
        </w:rPr>
        <w:t>被申请人于2025年7月28日收到申请人通过全国12315平台提交的投诉举报材料，申请人称其购买的被举报人生产</w:t>
      </w:r>
      <w:r>
        <w:rPr>
          <w:rFonts w:hint="default" w:ascii="Times New Roman" w:hAnsi="Times New Roman" w:eastAsia="仿宋_GB2312" w:cs="Times New Roman"/>
          <w:b w:val="0"/>
          <w:bCs/>
          <w:sz w:val="32"/>
          <w:szCs w:val="21"/>
          <w:lang w:val="en-US" w:eastAsia="zh-CN"/>
        </w:rPr>
        <w:t>的</w:t>
      </w:r>
      <w:r>
        <w:rPr>
          <w:rFonts w:hint="eastAsia" w:ascii="Times New Roman" w:hAnsi="Times New Roman" w:eastAsia="仿宋_GB2312" w:cs="Times New Roman"/>
          <w:b w:val="0"/>
          <w:bCs/>
          <w:sz w:val="32"/>
          <w:szCs w:val="21"/>
          <w:lang w:val="en-US" w:eastAsia="zh-CN"/>
        </w:rPr>
        <w:t>涉案产品“海苔肉松蛋卷”，其标签应按</w:t>
      </w:r>
      <w:r>
        <w:rPr>
          <w:rFonts w:hint="default" w:ascii="Times New Roman" w:hAnsi="Times New Roman" w:eastAsia="仿宋_GB2312" w:cs="Times New Roman"/>
          <w:b w:val="0"/>
          <w:bCs/>
          <w:sz w:val="32"/>
          <w:szCs w:val="21"/>
          <w:lang w:val="en-US" w:eastAsia="zh-CN"/>
        </w:rPr>
        <w:t>《</w:t>
      </w:r>
      <w:r>
        <w:rPr>
          <w:rFonts w:hint="eastAsia" w:ascii="Times New Roman" w:hAnsi="Times New Roman" w:eastAsia="仿宋_GB2312" w:cs="Times New Roman"/>
          <w:b w:val="0"/>
          <w:bCs/>
          <w:sz w:val="32"/>
          <w:szCs w:val="21"/>
          <w:lang w:val="en-US" w:eastAsia="zh-CN"/>
        </w:rPr>
        <w:t>饼干质量通则</w:t>
      </w:r>
      <w:r>
        <w:rPr>
          <w:rFonts w:hint="default" w:ascii="Times New Roman" w:hAnsi="Times New Roman" w:eastAsia="仿宋_GB2312" w:cs="Times New Roman"/>
          <w:b w:val="0"/>
          <w:bCs/>
          <w:sz w:val="32"/>
          <w:szCs w:val="21"/>
          <w:lang w:val="en-US" w:eastAsia="zh-CN"/>
        </w:rPr>
        <w:t>》</w:t>
      </w:r>
      <w:r>
        <w:rPr>
          <w:rFonts w:hint="eastAsia" w:ascii="Times New Roman" w:hAnsi="Times New Roman" w:eastAsia="仿宋_GB2312" w:cs="Times New Roman"/>
          <w:b w:val="0"/>
          <w:bCs/>
          <w:sz w:val="32"/>
          <w:szCs w:val="21"/>
          <w:lang w:val="en-US" w:eastAsia="zh-CN"/>
        </w:rPr>
        <w:t>（GB/T 20980-2021）第4、8.1的规定标识分类名称，夹心（或注心）饼干、装饰饼干、饼干碎应同时标示饼干单片的分类名称，表2有理化标准，望查实，可以接受调解。</w:t>
      </w:r>
      <w:r>
        <w:rPr>
          <w:rFonts w:hint="eastAsia" w:ascii="Times New Roman" w:hAnsi="Times New Roman" w:eastAsia="仿宋_GB2312" w:cs="Times New Roman"/>
          <w:b w:val="0"/>
          <w:bCs/>
          <w:sz w:val="32"/>
          <w:szCs w:val="21"/>
          <w:highlight w:val="none"/>
          <w:lang w:val="en-US" w:eastAsia="zh-CN"/>
        </w:rPr>
        <w:t>8</w:t>
      </w:r>
      <w:r>
        <w:rPr>
          <w:rFonts w:hint="eastAsia" w:ascii="Times New Roman" w:hAnsi="Times New Roman" w:eastAsia="仿宋_GB2312" w:cs="Times New Roman"/>
          <w:sz w:val="32"/>
          <w:highlight w:val="none"/>
          <w:lang w:val="en-US" w:eastAsia="zh-CN"/>
        </w:rPr>
        <w:t>月5日</w:t>
      </w:r>
      <w:r>
        <w:rPr>
          <w:rFonts w:hint="eastAsia" w:ascii="Times New Roman" w:hAnsi="Times New Roman" w:eastAsia="仿宋_GB2312" w:cs="Times New Roman"/>
          <w:sz w:val="32"/>
          <w:lang w:val="en-US" w:eastAsia="zh-CN"/>
        </w:rPr>
        <w:t>，被申请人对被举报人进行核查，被举报人承认该产品系其生产，并提供了被举报产品</w:t>
      </w:r>
      <w:r>
        <w:rPr>
          <w:rFonts w:hint="eastAsia" w:ascii="Times New Roman" w:hAnsi="Times New Roman" w:eastAsia="仿宋_GB2312" w:cs="Times New Roman"/>
          <w:b w:val="0"/>
          <w:bCs/>
          <w:sz w:val="32"/>
          <w:szCs w:val="21"/>
          <w:lang w:val="en-US" w:eastAsia="zh-CN"/>
        </w:rPr>
        <w:t>的检测报告。</w:t>
      </w:r>
      <w:r>
        <w:rPr>
          <w:rFonts w:hint="eastAsia" w:ascii="Times New Roman" w:hAnsi="Times New Roman" w:eastAsia="仿宋_GB2312" w:cs="Times New Roman"/>
          <w:b w:val="0"/>
          <w:bCs/>
          <w:sz w:val="32"/>
          <w:szCs w:val="21"/>
          <w:highlight w:val="none"/>
          <w:lang w:val="en-US" w:eastAsia="zh-CN"/>
        </w:rPr>
        <w:t>报告载明涉案产品呈多层卷筒形态，断面层次分明，外形基本完整，具有蛋卷应有的色泽和蛋香味，无异味且口感酥脆，符合《饼干质量通则》</w:t>
      </w:r>
      <w:r>
        <w:rPr>
          <w:rFonts w:hint="eastAsia" w:ascii="Times New Roman" w:hAnsi="Times New Roman" w:eastAsia="仿宋_GB2312" w:cs="Times New Roman"/>
          <w:b w:val="0"/>
          <w:bCs/>
          <w:sz w:val="32"/>
          <w:szCs w:val="21"/>
          <w:lang w:val="en-US" w:eastAsia="zh-CN"/>
        </w:rPr>
        <w:t>（GB/T 20980-2021）中蛋卷的认定标准，且报告中标签一栏的“其他标识内容”部分，确认被举报产品的标注方式符合GB 7718-2011 4.1.11条款和GB/T 20980-2021 8.1条款规定，因此被举报产品已标明产品类型。同时，报告载明</w:t>
      </w:r>
      <w:r>
        <w:rPr>
          <w:rFonts w:hint="eastAsia" w:ascii="Times New Roman" w:hAnsi="Times New Roman" w:eastAsia="仿宋_GB2312" w:cs="Times New Roman"/>
          <w:sz w:val="32"/>
          <w:lang w:val="en-US" w:eastAsia="zh-CN"/>
        </w:rPr>
        <w:t>水分检测结果2.52%≤4.0%、碱度（以碳酸钠计）检测结果0.21%≤0.3%，符合</w:t>
      </w:r>
      <w:r>
        <w:rPr>
          <w:rFonts w:hint="eastAsia" w:ascii="Times New Roman" w:hAnsi="Times New Roman" w:eastAsia="仿宋_GB2312" w:cs="Times New Roman"/>
          <w:b w:val="0"/>
          <w:bCs/>
          <w:sz w:val="32"/>
          <w:szCs w:val="21"/>
          <w:highlight w:val="none"/>
          <w:lang w:val="en-US" w:eastAsia="zh-CN"/>
        </w:rPr>
        <w:t>《饼干质量通则》</w:t>
      </w:r>
      <w:r>
        <w:rPr>
          <w:rFonts w:hint="eastAsia" w:ascii="Times New Roman" w:hAnsi="Times New Roman" w:eastAsia="仿宋_GB2312" w:cs="Times New Roman"/>
          <w:b w:val="0"/>
          <w:bCs/>
          <w:sz w:val="32"/>
          <w:szCs w:val="21"/>
          <w:lang w:val="en-US" w:eastAsia="zh-CN"/>
        </w:rPr>
        <w:t>（GB/T 20980-2021）</w:t>
      </w:r>
      <w:r>
        <w:rPr>
          <w:rFonts w:hint="eastAsia" w:ascii="Times New Roman" w:hAnsi="Times New Roman" w:eastAsia="仿宋_GB2312" w:cs="Times New Roman"/>
          <w:sz w:val="32"/>
          <w:lang w:val="en-US" w:eastAsia="zh-CN"/>
        </w:rPr>
        <w:t>5.3条款表2理化要求中蛋卷的标准。因此，被申请人认定案涉产品为蛋卷，又因理化指标属于产品质量检测的范畴，不属于标签强制标注内容，</w:t>
      </w:r>
      <w:r>
        <w:rPr>
          <w:rFonts w:hint="eastAsia" w:ascii="Times New Roman" w:hAnsi="Times New Roman" w:eastAsia="仿宋_GB2312" w:cs="Times New Roman"/>
          <w:b w:val="0"/>
          <w:bCs/>
          <w:sz w:val="32"/>
          <w:szCs w:val="21"/>
          <w:lang w:val="en-US" w:eastAsia="zh-CN"/>
        </w:rPr>
        <w:t>被申请人认为被举报人不存在违法行为，不符合</w:t>
      </w:r>
      <w:r>
        <w:rPr>
          <w:rFonts w:hint="eastAsia" w:ascii="Times New Roman" w:hAnsi="Times New Roman" w:eastAsia="仿宋_GB2312" w:cs="Times New Roman"/>
          <w:sz w:val="32"/>
          <w:lang w:val="en-US" w:eastAsia="zh-CN"/>
        </w:rPr>
        <w:t>《市场监督管理行政处罚程序规定》第十九条第一款第（一）项规定的立案条件，</w:t>
      </w:r>
      <w:r>
        <w:rPr>
          <w:rFonts w:hint="eastAsia" w:ascii="Times New Roman" w:hAnsi="Times New Roman" w:eastAsia="仿宋_GB2312" w:cs="Times New Roman"/>
          <w:b w:val="0"/>
          <w:bCs/>
          <w:sz w:val="32"/>
          <w:szCs w:val="21"/>
          <w:lang w:val="en-US" w:eastAsia="zh-CN"/>
        </w:rPr>
        <w:t>遂于8月14日决定不予立案，并制作赣市监不立告〔2025〕第081401号举报不予立案告知书，于当日通过全国12315平台告知申请人举报不予立案决定。申请人不服被申请人作出的不予立案决定，遂提起行政复议。</w:t>
      </w:r>
    </w:p>
    <w:p w14:paraId="5C91F18A">
      <w:pPr>
        <w:keepNext w:val="0"/>
        <w:keepLines w:val="0"/>
        <w:pageBreakBefore w:val="0"/>
        <w:widowControl w:val="0"/>
        <w:kinsoku/>
        <w:wordWrap/>
        <w:overflowPunct/>
        <w:topLinePunct w:val="0"/>
        <w:autoSpaceDE/>
        <w:autoSpaceDN/>
        <w:bidi w:val="0"/>
        <w:adjustRightInd w:val="0"/>
        <w:snapToGrid w:val="0"/>
        <w:spacing w:line="540" w:lineRule="exact"/>
        <w:ind w:firstLine="610"/>
        <w:textAlignment w:val="auto"/>
        <w:rPr>
          <w:rFonts w:hint="eastAsia" w:ascii="Times New Roman" w:hAnsi="Times New Roman" w:eastAsia="仿宋_GB2312" w:cs="Times New Roman"/>
          <w:bCs/>
          <w:sz w:val="32"/>
          <w:szCs w:val="21"/>
          <w:lang w:val="en-US" w:eastAsia="zh-CN"/>
        </w:rPr>
      </w:pPr>
      <w:r>
        <w:rPr>
          <w:rFonts w:hint="eastAsia" w:ascii="Times New Roman" w:hAnsi="Times New Roman" w:eastAsia="仿宋_GB2312" w:cs="Times New Roman"/>
          <w:bCs/>
          <w:sz w:val="32"/>
          <w:szCs w:val="21"/>
          <w:lang w:val="en-US" w:eastAsia="zh-CN"/>
        </w:rPr>
        <w:t>上述事实，有申请人、被申请人提交的证据证实。</w:t>
      </w:r>
    </w:p>
    <w:p w14:paraId="0ADE4F79">
      <w:pPr>
        <w:keepNext w:val="0"/>
        <w:keepLines w:val="0"/>
        <w:pageBreakBefore w:val="0"/>
        <w:widowControl w:val="0"/>
        <w:kinsoku/>
        <w:wordWrap/>
        <w:overflowPunct/>
        <w:topLinePunct w:val="0"/>
        <w:autoSpaceDE/>
        <w:autoSpaceDN/>
        <w:bidi w:val="0"/>
        <w:adjustRightInd w:val="0"/>
        <w:snapToGrid w:val="0"/>
        <w:spacing w:line="540" w:lineRule="exact"/>
        <w:ind w:firstLine="610"/>
        <w:textAlignment w:val="auto"/>
        <w:rPr>
          <w:rFonts w:hint="eastAsia" w:ascii="Times New Roman" w:hAnsi="Times New Roman" w:eastAsia="仿宋_GB2312" w:cs="仿宋_GB2312"/>
          <w:bCs/>
          <w:sz w:val="32"/>
          <w:szCs w:val="21"/>
          <w:lang w:val="en-US" w:eastAsia="zh-CN"/>
        </w:rPr>
      </w:pPr>
      <w:r>
        <w:rPr>
          <w:rFonts w:hint="eastAsia" w:ascii="Times New Roman" w:hAnsi="Times New Roman" w:eastAsia="仿宋_GB2312" w:cs="Times New Roman"/>
          <w:b/>
          <w:bCs/>
          <w:sz w:val="32"/>
          <w:lang w:val="en-US" w:eastAsia="zh-CN"/>
        </w:rPr>
        <w:t>本机关认为：</w:t>
      </w:r>
      <w:r>
        <w:rPr>
          <w:rFonts w:hint="eastAsia" w:ascii="Times New Roman" w:hAnsi="Times New Roman" w:eastAsia="仿宋_GB2312"/>
          <w:sz w:val="32"/>
        </w:rPr>
        <w:t>《市场监督管理投诉举报处理暂行办法》第四条第二款规定“县级以上地方市场监督管理部门负责本行政区域内的投诉举报处理工作”，被申请人负有处理本辖区内投诉举报的法定职责</w:t>
      </w:r>
      <w:r>
        <w:rPr>
          <w:rFonts w:hint="eastAsia" w:ascii="Times New Roman" w:hAnsi="Times New Roman" w:eastAsia="仿宋_GB2312"/>
          <w:sz w:val="32"/>
          <w:lang w:eastAsia="zh-CN"/>
        </w:rPr>
        <w:t>。</w:t>
      </w:r>
      <w:r>
        <w:rPr>
          <w:rFonts w:hint="eastAsia" w:ascii="Times New Roman" w:hAnsi="Times New Roman" w:eastAsia="仿宋_GB2312" w:cs="仿宋_GB2312"/>
          <w:bCs/>
          <w:sz w:val="32"/>
          <w:szCs w:val="21"/>
          <w:lang w:val="en-US" w:eastAsia="zh-CN"/>
        </w:rPr>
        <w:t>《市场监督管理行政处罚程序规定》第十八条第一款规定：“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第十九条第一款第一项规定：“经核查，符合下列条件的，应当立案：（一）有证据初步证明存在违反市场监督管理法律、法规、规章的行为；……”《市场监督管理投诉举报处理暂行办法》第三十一条第二款规定：“举报人实名举报的，有处理权限的市场监督管理部门还应当自作出是否立案决定之日起五个工作日内告知举报人。”本案中，被申请人在收到申请人的举报材料后在规定期限内进行核查，未发现被举报人存在违法行为，不符合立案条件，遂在法定期限内作出不予立案决定，并通过全国12315平台告知申请人，符合上述规定。</w:t>
      </w:r>
    </w:p>
    <w:p w14:paraId="2444207D">
      <w:pPr>
        <w:pStyle w:val="3"/>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综上所述，被申请人作出的具体行政行为认定事实清楚、证据确凿、适用依据正确、程序合法、内容适当。根据《中华人民共和国行政复议法》第六十八条之规定，本机关决定如下：</w:t>
      </w:r>
    </w:p>
    <w:p w14:paraId="0840A484">
      <w:pPr>
        <w:pStyle w:val="3"/>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Courier New"/>
          <w:bCs/>
          <w:sz w:val="32"/>
        </w:rPr>
      </w:pPr>
      <w:r>
        <w:rPr>
          <w:rFonts w:hint="eastAsia" w:ascii="Times New Roman" w:hAnsi="Times New Roman" w:eastAsia="仿宋_GB2312"/>
          <w:sz w:val="32"/>
        </w:rPr>
        <w:t>维持被申请人连云港市赣榆区市场监督管理局</w:t>
      </w:r>
      <w:r>
        <w:rPr>
          <w:rFonts w:hint="eastAsia" w:ascii="Times New Roman" w:hAnsi="Times New Roman" w:eastAsia="仿宋_GB2312"/>
          <w:sz w:val="32"/>
          <w:lang w:val="en-US" w:eastAsia="zh-CN"/>
        </w:rPr>
        <w:t>于2025年8月14日</w:t>
      </w:r>
      <w:r>
        <w:rPr>
          <w:rFonts w:hint="eastAsia" w:ascii="Times New Roman" w:hAnsi="Times New Roman" w:eastAsia="仿宋_GB2312"/>
          <w:sz w:val="32"/>
        </w:rPr>
        <w:t>对申请人</w:t>
      </w:r>
      <w:r>
        <w:rPr>
          <w:rFonts w:hint="eastAsia" w:ascii="Times New Roman" w:hAnsi="Times New Roman" w:eastAsia="仿宋_GB2312"/>
          <w:sz w:val="32"/>
          <w:lang w:val="en-US" w:eastAsia="zh-CN"/>
        </w:rPr>
        <w:t>王某</w:t>
      </w:r>
      <w:r>
        <w:rPr>
          <w:rFonts w:hint="eastAsia" w:ascii="Times New Roman" w:hAnsi="Times New Roman" w:eastAsia="仿宋_GB2312" w:cs="Courier New"/>
          <w:bCs/>
          <w:sz w:val="32"/>
        </w:rPr>
        <w:t>举报作出的不予立案决定。</w:t>
      </w:r>
    </w:p>
    <w:p w14:paraId="6441CB5C">
      <w:pPr>
        <w:pStyle w:val="3"/>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eastAsia="仿宋_GB2312"/>
          <w:lang w:val="en-US" w:eastAsia="zh-CN"/>
        </w:rPr>
      </w:pPr>
      <w:r>
        <w:rPr>
          <w:rFonts w:hint="eastAsia" w:ascii="Times New Roman" w:hAnsi="Times New Roman" w:eastAsia="仿宋_GB2312"/>
          <w:sz w:val="32"/>
        </w:rPr>
        <w:t>申请人如对本决定不服，可以自接到本决定之日起15日内向连云港经济技术开发区人民法院提起行政诉讼。</w:t>
      </w:r>
      <w:r>
        <w:rPr>
          <w:rFonts w:hint="eastAsia"/>
          <w:lang w:val="en-US" w:eastAsia="zh-CN"/>
        </w:rPr>
        <w:t xml:space="preserve">   </w:t>
      </w:r>
    </w:p>
    <w:p w14:paraId="2094E050">
      <w:pPr>
        <w:keepNext w:val="0"/>
        <w:keepLines w:val="0"/>
        <w:pageBreakBefore w:val="0"/>
        <w:widowControl w:val="0"/>
        <w:kinsoku/>
        <w:overflowPunct/>
        <w:topLinePunct w:val="0"/>
        <w:autoSpaceDE/>
        <w:autoSpaceDN/>
        <w:bidi w:val="0"/>
        <w:adjustRightInd w:val="0"/>
        <w:snapToGrid w:val="0"/>
        <w:spacing w:line="540" w:lineRule="exact"/>
        <w:textAlignment w:val="auto"/>
        <w:rPr>
          <w:rFonts w:hint="eastAsia"/>
        </w:rPr>
      </w:pPr>
    </w:p>
    <w:p w14:paraId="27E58935">
      <w:pPr>
        <w:keepNext w:val="0"/>
        <w:keepLines w:val="0"/>
        <w:pageBreakBefore w:val="0"/>
        <w:widowControl w:val="0"/>
        <w:kinsoku/>
        <w:overflowPunct/>
        <w:topLinePunct w:val="0"/>
        <w:autoSpaceDE/>
        <w:autoSpaceDN/>
        <w:bidi w:val="0"/>
        <w:adjustRightInd w:val="0"/>
        <w:snapToGrid w:val="0"/>
        <w:spacing w:line="540" w:lineRule="exact"/>
        <w:textAlignment w:val="auto"/>
        <w:rPr>
          <w:rFonts w:hint="eastAsia"/>
        </w:rPr>
      </w:pPr>
    </w:p>
    <w:p w14:paraId="6434761C">
      <w:pPr>
        <w:keepNext w:val="0"/>
        <w:keepLines w:val="0"/>
        <w:pageBreakBefore w:val="0"/>
        <w:widowControl w:val="0"/>
        <w:kinsoku/>
        <w:overflowPunct/>
        <w:topLinePunct w:val="0"/>
        <w:autoSpaceDE/>
        <w:autoSpaceDN/>
        <w:bidi w:val="0"/>
        <w:adjustRightInd w:val="0"/>
        <w:snapToGrid w:val="0"/>
        <w:spacing w:line="540" w:lineRule="exact"/>
        <w:textAlignment w:val="auto"/>
        <w:rPr>
          <w:rFonts w:hint="eastAsia"/>
        </w:rPr>
      </w:pPr>
    </w:p>
    <w:p w14:paraId="47A74CAF">
      <w:pPr>
        <w:keepNext w:val="0"/>
        <w:keepLines w:val="0"/>
        <w:pageBreakBefore w:val="0"/>
        <w:widowControl w:val="0"/>
        <w:kinsoku/>
        <w:overflowPunct/>
        <w:topLinePunct w:val="0"/>
        <w:autoSpaceDE/>
        <w:autoSpaceDN/>
        <w:bidi w:val="0"/>
        <w:adjustRightInd w:val="0"/>
        <w:snapToGrid w:val="0"/>
        <w:spacing w:line="540" w:lineRule="exact"/>
        <w:textAlignment w:val="auto"/>
        <w:rPr>
          <w:rFonts w:hint="default" w:ascii="Times New Roman" w:hAnsi="Times New Roman" w:eastAsia="仿宋_GB2312" w:cstheme="minorBidi"/>
          <w:kern w:val="2"/>
          <w:sz w:val="32"/>
          <w:szCs w:val="24"/>
          <w:lang w:val="en-US" w:eastAsia="zh-CN" w:bidi="ar-SA"/>
        </w:rPr>
      </w:pPr>
      <w:r>
        <w:rPr>
          <w:rFonts w:hint="eastAsia"/>
          <w:lang w:val="en-US" w:eastAsia="zh-CN"/>
        </w:rPr>
        <w:t xml:space="preserve">                                                </w:t>
      </w:r>
      <w:r>
        <w:rPr>
          <w:rFonts w:hint="eastAsia" w:ascii="Times New Roman" w:hAnsi="Times New Roman" w:eastAsia="仿宋_GB2312" w:cstheme="minorBidi"/>
          <w:kern w:val="2"/>
          <w:sz w:val="32"/>
          <w:szCs w:val="24"/>
          <w:lang w:val="en-US" w:eastAsia="zh-CN" w:bidi="ar-SA"/>
        </w:rPr>
        <w:t>2025年10月22日</w:t>
      </w:r>
    </w:p>
    <w:p w14:paraId="6FF9993D">
      <w:pPr>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br w:type="page"/>
      </w:r>
      <w:r>
        <w:rPr>
          <w:rFonts w:hint="eastAsia" w:ascii="Times New Roman" w:hAnsi="Times New Roman" w:eastAsia="仿宋_GB2312" w:cstheme="minorBidi"/>
          <w:kern w:val="2"/>
          <w:sz w:val="32"/>
          <w:szCs w:val="24"/>
          <w:lang w:val="en-US" w:eastAsia="zh-CN" w:bidi="ar-SA"/>
        </w:rPr>
        <w:t>附：本决定适用的相关法律依据：</w:t>
      </w:r>
    </w:p>
    <w:p w14:paraId="01AE1132">
      <w:pPr>
        <w:keepNext w:val="0"/>
        <w:keepLines w:val="0"/>
        <w:pageBreakBefore w:val="0"/>
        <w:widowControl w:val="0"/>
        <w:kinsoku/>
        <w:overflowPunct/>
        <w:topLinePunct w:val="0"/>
        <w:autoSpaceDE/>
        <w:autoSpaceDN/>
        <w:bidi w:val="0"/>
        <w:adjustRightInd w:val="0"/>
        <w:snapToGrid w:val="0"/>
        <w:spacing w:line="540" w:lineRule="exact"/>
        <w:ind w:firstLine="643" w:firstLineChars="200"/>
        <w:textAlignment w:val="auto"/>
        <w:rPr>
          <w:rFonts w:hint="eastAsia" w:ascii="Times New Roman" w:hAnsi="Times New Roman" w:eastAsia="仿宋_GB2312" w:cstheme="minorBidi"/>
          <w:b/>
          <w:bCs/>
          <w:kern w:val="2"/>
          <w:sz w:val="32"/>
          <w:szCs w:val="24"/>
          <w:lang w:val="en-US" w:eastAsia="zh-CN" w:bidi="ar-SA"/>
        </w:rPr>
      </w:pPr>
      <w:r>
        <w:rPr>
          <w:rFonts w:hint="eastAsia" w:ascii="Times New Roman" w:hAnsi="Times New Roman" w:eastAsia="仿宋_GB2312" w:cstheme="minorBidi"/>
          <w:b/>
          <w:bCs/>
          <w:kern w:val="2"/>
          <w:sz w:val="32"/>
          <w:szCs w:val="24"/>
          <w:lang w:val="en-US" w:eastAsia="zh-CN" w:bidi="ar-SA"/>
        </w:rPr>
        <w:t>《中华人民共和国行政复议法》</w:t>
      </w:r>
    </w:p>
    <w:p w14:paraId="076E15A4">
      <w:pPr>
        <w:pStyle w:val="3"/>
        <w:keepNext w:val="0"/>
        <w:keepLines w:val="0"/>
        <w:pageBreakBefore w:val="0"/>
        <w:widowControl w:val="0"/>
        <w:kinsoku/>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t>第六十八条</w:t>
      </w:r>
      <w:bookmarkStart w:id="0" w:name="tiao_68_kuan_1"/>
      <w:bookmarkEnd w:id="0"/>
      <w:r>
        <w:rPr>
          <w:rFonts w:hint="eastAsia" w:ascii="Times New Roman" w:hAnsi="Times New Roman" w:eastAsia="仿宋_GB2312" w:cstheme="minorBidi"/>
          <w:kern w:val="2"/>
          <w:sz w:val="32"/>
          <w:szCs w:val="24"/>
          <w:lang w:val="en-US" w:eastAsia="zh-CN" w:bidi="ar-SA"/>
        </w:rPr>
        <w:t>　行政行为认定事实清楚，证据确凿，适用依据正确，程序合法，内容适当的，行政复议机关决定维持该行政行为。</w:t>
      </w:r>
    </w:p>
    <w:p w14:paraId="0368C6B3">
      <w:pPr>
        <w:keepNext w:val="0"/>
        <w:keepLines w:val="0"/>
        <w:pageBreakBefore w:val="0"/>
        <w:widowControl w:val="0"/>
        <w:kinsoku/>
        <w:wordWrap w:val="0"/>
        <w:overflowPunct/>
        <w:topLinePunct w:val="0"/>
        <w:autoSpaceDE/>
        <w:autoSpaceDN/>
        <w:bidi w:val="0"/>
        <w:adjustRightInd w:val="0"/>
        <w:snapToGrid w:val="0"/>
        <w:spacing w:line="540" w:lineRule="exact"/>
        <w:jc w:val="right"/>
        <w:textAlignment w:val="auto"/>
        <w:rPr>
          <w:rFonts w:hint="default" w:eastAsia="仿宋_GB2312"/>
          <w:lang w:val="en-US" w:eastAsia="zh-CN"/>
        </w:rPr>
      </w:pPr>
      <w:r>
        <w:rPr>
          <w:rFonts w:hint="eastAsia"/>
          <w:lang w:val="en-US" w:eastAsia="zh-CN"/>
        </w:rPr>
        <w:t xml:space="preserve">      </w:t>
      </w:r>
    </w:p>
    <w:p w14:paraId="43AF31D0">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76EA6456">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4DAD8850">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1E623EFE">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4C83B73D">
      <w:pPr>
        <w:keepNext w:val="0"/>
        <w:keepLines w:val="0"/>
        <w:pageBreakBefore w:val="0"/>
        <w:widowControl w:val="0"/>
        <w:kinsoku/>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lang w:val="en-US" w:eastAsia="zh-CN"/>
        </w:rPr>
      </w:pPr>
    </w:p>
    <w:sectPr>
      <w:footerReference r:id="rId3" w:type="default"/>
      <w:pgSz w:w="11906" w:h="16838"/>
      <w:pgMar w:top="1587" w:right="1587"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noto sans thai">
    <w:panose1 w:val="020B0502040504020204"/>
    <w:charset w:val="00"/>
    <w:family w:val="auto"/>
    <w:pitch w:val="default"/>
    <w:sig w:usb0="81000063" w:usb1="00002000" w:usb2="00000000" w:usb3="00000000" w:csb0="0001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1ABB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DBBA">
                          <w:pPr>
                            <w:pStyle w:val="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94DBBA">
                    <w:pPr>
                      <w:pStyle w:val="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832E4"/>
    <w:rsid w:val="063A1DEA"/>
    <w:rsid w:val="08EC29C7"/>
    <w:rsid w:val="09167B59"/>
    <w:rsid w:val="0A2A37A7"/>
    <w:rsid w:val="0C9B098C"/>
    <w:rsid w:val="0CCF4ADA"/>
    <w:rsid w:val="0D4E1EA3"/>
    <w:rsid w:val="0E0D7F6B"/>
    <w:rsid w:val="0F3C24D6"/>
    <w:rsid w:val="10FF1C35"/>
    <w:rsid w:val="11170C73"/>
    <w:rsid w:val="17B51ACF"/>
    <w:rsid w:val="229451CA"/>
    <w:rsid w:val="22EB3DD4"/>
    <w:rsid w:val="26061115"/>
    <w:rsid w:val="26BB3CAD"/>
    <w:rsid w:val="2BF67536"/>
    <w:rsid w:val="2E5A1FFE"/>
    <w:rsid w:val="3B9F0CC3"/>
    <w:rsid w:val="3C6B187A"/>
    <w:rsid w:val="3E90786A"/>
    <w:rsid w:val="3FE70B5F"/>
    <w:rsid w:val="410C0680"/>
    <w:rsid w:val="43C81360"/>
    <w:rsid w:val="4B03027E"/>
    <w:rsid w:val="4B9A1834"/>
    <w:rsid w:val="4C1C66ED"/>
    <w:rsid w:val="4F29184C"/>
    <w:rsid w:val="50994760"/>
    <w:rsid w:val="516923D4"/>
    <w:rsid w:val="530C6CDE"/>
    <w:rsid w:val="543A0058"/>
    <w:rsid w:val="56E04EE6"/>
    <w:rsid w:val="57996E43"/>
    <w:rsid w:val="5B0311A3"/>
    <w:rsid w:val="5B6559BA"/>
    <w:rsid w:val="5C3832E4"/>
    <w:rsid w:val="601C5B05"/>
    <w:rsid w:val="61695AD8"/>
    <w:rsid w:val="63520F1A"/>
    <w:rsid w:val="67AE2F25"/>
    <w:rsid w:val="67B35CFF"/>
    <w:rsid w:val="69115550"/>
    <w:rsid w:val="6A6E4160"/>
    <w:rsid w:val="6AB21AFC"/>
    <w:rsid w:val="6EBD4F8D"/>
    <w:rsid w:val="6F773AB6"/>
    <w:rsid w:val="71641E18"/>
    <w:rsid w:val="75AA6813"/>
    <w:rsid w:val="79B06543"/>
    <w:rsid w:val="7A1F0FD2"/>
    <w:rsid w:val="7A8552D9"/>
    <w:rsid w:val="9FE7ADF8"/>
    <w:rsid w:val="BF7F5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eastAsia="宋体"/>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3714</Words>
  <Characters>4032</Characters>
  <Lines>0</Lines>
  <Paragraphs>0</Paragraphs>
  <TotalTime>6</TotalTime>
  <ScaleCrop>false</ScaleCrop>
  <LinksUpToDate>false</LinksUpToDate>
  <CharactersWithSpaces>4061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2025-08-23T06:41:00Z</dcterms:created>
  <dc:creator>别</dc:creator>
  <cp:lastModifiedBy>董雪</cp:lastModifiedBy>
  <dcterms:modified xsi:type="dcterms:W3CDTF">2026-07-07T16:51:27Z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BE536D29111774BA0FBE4C6A9C841196_43</vt:lpwstr>
  </property>
  <property fmtid="{D5CDD505-2E9C-101B-9397-08002B2CF9AE}" pid="4" name="KSOTemplateDocerSaveRecord">
    <vt:lpwstr>eyJoZGlkIjoiMmUwZDllOTY2Y2MzN2Q1ZWEyZGY2NDQ4ZGE4NWEwM2YiLCJ1c2VySWQiOiIzMTA4NzE5NDYifQ==</vt:lpwstr>
  </property>
</Properties>
</file>