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C0310">
      <w:pPr>
        <w:keepNext w:val="0"/>
        <w:keepLines w:val="0"/>
        <w:pageBreakBefore w:val="0"/>
        <w:widowControl w:val="0"/>
        <w:kinsoku/>
        <w:overflowPunct/>
        <w:topLinePunct w:val="0"/>
        <w:autoSpaceDE/>
        <w:autoSpaceDN/>
        <w:bidi w:val="0"/>
        <w:spacing w:line="560" w:lineRule="exact"/>
        <w:jc w:val="center"/>
        <w:textAlignment w:val="auto"/>
        <w:rPr>
          <w:rFonts w:ascii="Times New Roman" w:hAnsi="Times New Roman" w:eastAsia="方正小标宋简体"/>
          <w:bCs w:val="0"/>
          <w:sz w:val="44"/>
        </w:rPr>
      </w:pPr>
      <w:r>
        <w:rPr>
          <w:rFonts w:hint="eastAsia" w:ascii="Times New Roman" w:hAnsi="Times New Roman" w:eastAsia="方正小标宋简体"/>
          <w:bCs w:val="0"/>
          <w:sz w:val="44"/>
        </w:rPr>
        <w:t>连云港市赣榆区人民政府</w:t>
      </w:r>
    </w:p>
    <w:p w14:paraId="4629E463">
      <w:pPr>
        <w:keepNext w:val="0"/>
        <w:keepLines w:val="0"/>
        <w:pageBreakBefore w:val="0"/>
        <w:widowControl w:val="0"/>
        <w:kinsoku/>
        <w:overflowPunct/>
        <w:topLinePunct w:val="0"/>
        <w:autoSpaceDE/>
        <w:autoSpaceDN/>
        <w:bidi w:val="0"/>
        <w:spacing w:line="560" w:lineRule="exact"/>
        <w:jc w:val="center"/>
        <w:textAlignment w:val="auto"/>
        <w:rPr>
          <w:rFonts w:hint="eastAsia" w:ascii="Times New Roman" w:hAnsi="Times New Roman" w:eastAsia="方正小标宋简体"/>
          <w:bCs w:val="0"/>
          <w:sz w:val="44"/>
          <w:lang w:val="en-US" w:eastAsia="zh-CN"/>
        </w:rPr>
      </w:pPr>
      <w:r>
        <w:rPr>
          <w:rFonts w:hint="eastAsia" w:ascii="Times New Roman" w:hAnsi="Times New Roman" w:eastAsia="方正小标宋简体"/>
          <w:bCs w:val="0"/>
          <w:sz w:val="44"/>
        </w:rPr>
        <w:t>行政复议决定书</w:t>
      </w:r>
    </w:p>
    <w:p w14:paraId="4ECA61C4">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方正小标宋简体"/>
        </w:rPr>
      </w:pPr>
    </w:p>
    <w:p w14:paraId="4880E488">
      <w:pPr>
        <w:keepNext w:val="0"/>
        <w:keepLines w:val="0"/>
        <w:pageBreakBefore w:val="0"/>
        <w:widowControl w:val="0"/>
        <w:kinsoku/>
        <w:overflowPunct/>
        <w:topLinePunct w:val="0"/>
        <w:autoSpaceDE/>
        <w:autoSpaceDN/>
        <w:bidi w:val="0"/>
        <w:spacing w:line="560" w:lineRule="exact"/>
        <w:ind w:firstLine="3510"/>
        <w:jc w:val="right"/>
        <w:textAlignment w:val="auto"/>
        <w:rPr>
          <w:rFonts w:hint="eastAsia" w:ascii="Times New Roman" w:hAnsi="Times New Roman"/>
        </w:rPr>
      </w:pPr>
      <w:r>
        <w:rPr>
          <w:rFonts w:hint="eastAsia" w:ascii="Times New Roman" w:hAnsi="Times New Roman"/>
        </w:rPr>
        <w:t>〔202</w:t>
      </w:r>
      <w:r>
        <w:rPr>
          <w:rFonts w:hint="eastAsia" w:ascii="Times New Roman" w:hAnsi="Times New Roman"/>
          <w:lang w:val="en-US" w:eastAsia="zh-CN"/>
        </w:rPr>
        <w:t>5</w:t>
      </w:r>
      <w:r>
        <w:rPr>
          <w:rFonts w:hint="eastAsia" w:ascii="Times New Roman" w:hAnsi="Times New Roman"/>
        </w:rPr>
        <w:t>〕赣行复第</w:t>
      </w:r>
      <w:r>
        <w:rPr>
          <w:rFonts w:hint="eastAsia"/>
          <w:lang w:val="en-US" w:eastAsia="zh-CN"/>
        </w:rPr>
        <w:t>131</w:t>
      </w:r>
      <w:r>
        <w:rPr>
          <w:rFonts w:hint="eastAsia" w:ascii="Times New Roman" w:hAnsi="Times New Roman"/>
        </w:rPr>
        <w:t>号</w:t>
      </w:r>
    </w:p>
    <w:p w14:paraId="45629656">
      <w:pPr>
        <w:keepNext w:val="0"/>
        <w:keepLines w:val="0"/>
        <w:pageBreakBefore w:val="0"/>
        <w:widowControl w:val="0"/>
        <w:kinsoku/>
        <w:overflowPunct/>
        <w:topLinePunct w:val="0"/>
        <w:autoSpaceDE/>
        <w:autoSpaceDN/>
        <w:bidi w:val="0"/>
        <w:spacing w:line="560" w:lineRule="exact"/>
        <w:ind w:firstLine="3510"/>
        <w:textAlignment w:val="auto"/>
        <w:rPr>
          <w:rFonts w:hint="eastAsia" w:ascii="Times New Roman" w:hAnsi="Times New Roman"/>
        </w:rPr>
      </w:pPr>
    </w:p>
    <w:p w14:paraId="27B8BAE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Times New Roman" w:hAnsi="Times New Roman"/>
        </w:rPr>
      </w:pPr>
      <w:r>
        <w:rPr>
          <w:rFonts w:ascii="Times New Roman" w:hAnsi="Times New Roman"/>
        </w:rPr>
        <w:t>申请人：</w:t>
      </w:r>
      <w:r>
        <w:rPr>
          <w:rFonts w:hint="eastAsia"/>
          <w:lang w:eastAsia="zh-CN"/>
        </w:rPr>
        <w:t>孙某</w:t>
      </w:r>
      <w:r>
        <w:rPr>
          <w:rFonts w:hint="eastAsia" w:ascii="Times New Roman" w:hAnsi="Times New Roman"/>
        </w:rPr>
        <w:t>。</w:t>
      </w:r>
    </w:p>
    <w:p w14:paraId="4307D1A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Times New Roman" w:hAnsi="Times New Roman"/>
        </w:rPr>
      </w:pPr>
      <w:r>
        <w:rPr>
          <w:rFonts w:hint="eastAsia" w:ascii="Times New Roman" w:hAnsi="Times New Roman"/>
        </w:rPr>
        <w:t>被申请人：连云港市赣榆区市场监督管理局。</w:t>
      </w:r>
    </w:p>
    <w:p w14:paraId="4B4C5ED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rPr>
      </w:pPr>
      <w:r>
        <w:rPr>
          <w:rFonts w:hint="eastAsia" w:ascii="Times New Roman" w:hAnsi="Times New Roman" w:cs="Courier New"/>
          <w:bCs/>
        </w:rPr>
        <w:t>申请人</w:t>
      </w:r>
      <w:r>
        <w:rPr>
          <w:rFonts w:hint="eastAsia"/>
          <w:lang w:eastAsia="zh-CN"/>
        </w:rPr>
        <w:t>孙某</w:t>
      </w:r>
      <w:r>
        <w:rPr>
          <w:rFonts w:hint="eastAsia" w:ascii="Times New Roman" w:hAnsi="Times New Roman" w:cs="Courier New"/>
          <w:bCs/>
        </w:rPr>
        <w:t>不服被申请人连云港市赣榆区市场监督管理局对举报</w:t>
      </w:r>
      <w:r>
        <w:rPr>
          <w:rFonts w:hint="eastAsia" w:cs="Courier New"/>
          <w:bCs/>
          <w:lang w:eastAsia="zh-CN"/>
        </w:rPr>
        <w:t>赣榆区</w:t>
      </w:r>
      <w:r>
        <w:rPr>
          <w:rFonts w:hint="eastAsia" w:cs="Courier New"/>
          <w:bCs/>
          <w:lang w:val="en-US" w:eastAsia="zh-CN"/>
        </w:rPr>
        <w:t>某</w:t>
      </w:r>
      <w:r>
        <w:rPr>
          <w:rFonts w:hint="eastAsia" w:cs="Courier New"/>
          <w:bCs/>
          <w:lang w:eastAsia="zh-CN"/>
        </w:rPr>
        <w:t>便利店</w:t>
      </w:r>
      <w:r>
        <w:rPr>
          <w:rFonts w:hint="eastAsia" w:ascii="Times New Roman" w:hAnsi="Times New Roman" w:cs="Courier New"/>
          <w:bCs/>
        </w:rPr>
        <w:t>（以下称</w:t>
      </w:r>
      <w:r>
        <w:rPr>
          <w:rFonts w:hint="eastAsia" w:cs="Courier New"/>
          <w:bCs/>
          <w:lang w:eastAsia="zh-CN"/>
        </w:rPr>
        <w:t>被举报人</w:t>
      </w:r>
      <w:r>
        <w:rPr>
          <w:rFonts w:hint="eastAsia" w:ascii="Times New Roman" w:hAnsi="Times New Roman" w:cs="Courier New"/>
          <w:bCs/>
        </w:rPr>
        <w:t>）的处理，于202</w:t>
      </w:r>
      <w:r>
        <w:rPr>
          <w:rFonts w:hint="eastAsia" w:ascii="Times New Roman" w:hAnsi="Times New Roman" w:cs="Courier New"/>
          <w:bCs/>
          <w:lang w:val="en-US" w:eastAsia="zh-CN"/>
        </w:rPr>
        <w:t>5</w:t>
      </w:r>
      <w:r>
        <w:rPr>
          <w:rFonts w:hint="eastAsia" w:ascii="Times New Roman" w:hAnsi="Times New Roman" w:cs="Courier New"/>
          <w:bCs/>
        </w:rPr>
        <w:t>年</w:t>
      </w:r>
      <w:r>
        <w:rPr>
          <w:rFonts w:hint="eastAsia" w:cs="Courier New"/>
          <w:bCs/>
          <w:lang w:val="en-US" w:eastAsia="zh-CN"/>
        </w:rPr>
        <w:t>5</w:t>
      </w:r>
      <w:r>
        <w:rPr>
          <w:rFonts w:hint="eastAsia" w:ascii="Times New Roman" w:hAnsi="Times New Roman" w:cs="Courier New"/>
          <w:bCs/>
        </w:rPr>
        <w:t>月</w:t>
      </w:r>
      <w:r>
        <w:rPr>
          <w:rFonts w:hint="eastAsia" w:cs="Courier New"/>
          <w:bCs/>
          <w:lang w:val="en-US" w:eastAsia="zh-CN"/>
        </w:rPr>
        <w:t>24</w:t>
      </w:r>
      <w:r>
        <w:rPr>
          <w:rFonts w:hint="eastAsia" w:ascii="Times New Roman" w:hAnsi="Times New Roman" w:cs="Courier New"/>
          <w:bCs/>
        </w:rPr>
        <w:t>日提起行政复议申请，本机关于</w:t>
      </w:r>
      <w:r>
        <w:rPr>
          <w:rFonts w:hint="eastAsia" w:cs="Courier New"/>
          <w:bCs/>
          <w:lang w:val="en-US" w:eastAsia="zh-CN"/>
        </w:rPr>
        <w:t>5</w:t>
      </w:r>
      <w:r>
        <w:rPr>
          <w:rFonts w:hint="eastAsia" w:ascii="Times New Roman" w:hAnsi="Times New Roman" w:cs="Courier New"/>
          <w:bCs/>
        </w:rPr>
        <w:t>月</w:t>
      </w:r>
      <w:r>
        <w:rPr>
          <w:rFonts w:hint="eastAsia" w:cs="Courier New"/>
          <w:bCs/>
          <w:lang w:val="en-US" w:eastAsia="zh-CN"/>
        </w:rPr>
        <w:t>29</w:t>
      </w:r>
      <w:r>
        <w:rPr>
          <w:rFonts w:hint="eastAsia" w:ascii="Times New Roman" w:hAnsi="Times New Roman" w:cs="Courier New"/>
          <w:bCs/>
        </w:rPr>
        <w:t>日受理，并适用普通程序审理。被申请人在规定期限</w:t>
      </w:r>
      <w:r>
        <w:rPr>
          <w:rFonts w:hint="eastAsia" w:ascii="Times New Roman" w:hAnsi="Times New Roman"/>
        </w:rPr>
        <w:t>内向本机关提交了书面答复材料。本案现已审理终结。</w:t>
      </w:r>
    </w:p>
    <w:p w14:paraId="04F0F4F0">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cs="Courier New"/>
          <w:bCs/>
          <w:lang w:eastAsia="zh-CN"/>
        </w:rPr>
      </w:pPr>
      <w:r>
        <w:rPr>
          <w:rFonts w:hint="eastAsia" w:ascii="Times New Roman" w:hAnsi="Times New Roman"/>
          <w:b/>
          <w:bCs w:val="0"/>
        </w:rPr>
        <w:t>申请人请求：</w:t>
      </w:r>
      <w:r>
        <w:rPr>
          <w:rFonts w:hint="eastAsia" w:cs="Courier New"/>
          <w:bCs/>
          <w:lang w:eastAsia="zh-CN"/>
        </w:rPr>
        <w:t>撤销被申请人对被举报人作出的不予立案决定，责令其重新作出处理并要求阅卷。</w:t>
      </w:r>
    </w:p>
    <w:p w14:paraId="752E75F5">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cs="Courier New"/>
          <w:bCs/>
          <w:lang w:eastAsia="zh-CN"/>
        </w:rPr>
      </w:pPr>
      <w:r>
        <w:rPr>
          <w:rFonts w:hint="eastAsia" w:ascii="Times New Roman" w:hAnsi="Times New Roman"/>
          <w:b/>
          <w:bCs w:val="0"/>
        </w:rPr>
        <w:t>申请人称：</w:t>
      </w:r>
      <w:r>
        <w:rPr>
          <w:rFonts w:hint="eastAsia" w:ascii="Times New Roman" w:hAnsi="Times New Roman" w:cs="Courier New"/>
          <w:bCs/>
          <w:lang w:eastAsia="zh-CN"/>
        </w:rPr>
        <w:t>申请人与</w:t>
      </w:r>
      <w:r>
        <w:rPr>
          <w:rFonts w:hint="eastAsia" w:cs="Courier New"/>
          <w:bCs/>
          <w:lang w:eastAsia="zh-CN"/>
        </w:rPr>
        <w:t>被举报人</w:t>
      </w:r>
      <w:r>
        <w:rPr>
          <w:rFonts w:hint="eastAsia" w:ascii="Times New Roman" w:hAnsi="Times New Roman" w:cs="Courier New"/>
          <w:bCs/>
          <w:lang w:eastAsia="zh-CN"/>
        </w:rPr>
        <w:t>发生消费权益纠纷</w:t>
      </w:r>
      <w:r>
        <w:rPr>
          <w:rFonts w:hint="eastAsia" w:cs="Courier New"/>
          <w:bCs/>
          <w:lang w:eastAsia="zh-CN"/>
        </w:rPr>
        <w:t>，</w:t>
      </w:r>
      <w:r>
        <w:rPr>
          <w:rFonts w:hint="eastAsia" w:ascii="Times New Roman" w:hAnsi="Times New Roman" w:cs="Courier New"/>
          <w:bCs/>
          <w:lang w:eastAsia="zh-CN"/>
        </w:rPr>
        <w:t>为维护自身合法权益向被申请人提交投诉举报</w:t>
      </w:r>
      <w:r>
        <w:rPr>
          <w:rFonts w:hint="eastAsia" w:cs="Courier New"/>
          <w:bCs/>
          <w:lang w:eastAsia="zh-CN"/>
        </w:rPr>
        <w:t>材料，</w:t>
      </w:r>
      <w:r>
        <w:rPr>
          <w:rFonts w:hint="eastAsia" w:ascii="Times New Roman" w:hAnsi="Times New Roman" w:cs="Courier New"/>
          <w:bCs/>
          <w:lang w:eastAsia="zh-CN"/>
        </w:rPr>
        <w:t>请求</w:t>
      </w:r>
      <w:r>
        <w:rPr>
          <w:rFonts w:hint="eastAsia" w:cs="Courier New"/>
          <w:bCs/>
          <w:lang w:eastAsia="zh-CN"/>
        </w:rPr>
        <w:t>其追究被举报人的</w:t>
      </w:r>
      <w:r>
        <w:rPr>
          <w:rFonts w:hint="eastAsia" w:ascii="Times New Roman" w:hAnsi="Times New Roman" w:cs="Courier New"/>
          <w:bCs/>
          <w:lang w:eastAsia="zh-CN"/>
        </w:rPr>
        <w:t>法律责任</w:t>
      </w:r>
      <w:r>
        <w:rPr>
          <w:rFonts w:hint="eastAsia" w:cs="Courier New"/>
          <w:bCs/>
          <w:lang w:eastAsia="zh-CN"/>
        </w:rPr>
        <w:t>，</w:t>
      </w:r>
      <w:r>
        <w:rPr>
          <w:rFonts w:hint="eastAsia" w:ascii="Times New Roman" w:hAnsi="Times New Roman" w:cs="Courier New"/>
          <w:bCs/>
          <w:lang w:eastAsia="zh-CN"/>
        </w:rPr>
        <w:t>后收到不予立案回复</w:t>
      </w:r>
      <w:r>
        <w:rPr>
          <w:rFonts w:hint="eastAsia" w:cs="Courier New"/>
          <w:bCs/>
          <w:lang w:eastAsia="zh-CN"/>
        </w:rPr>
        <w:t>，</w:t>
      </w:r>
      <w:r>
        <w:rPr>
          <w:rFonts w:hint="eastAsia" w:ascii="Times New Roman" w:hAnsi="Times New Roman" w:cs="Courier New"/>
          <w:bCs/>
          <w:lang w:eastAsia="zh-CN"/>
        </w:rPr>
        <w:t>申请人</w:t>
      </w:r>
      <w:r>
        <w:rPr>
          <w:rFonts w:hint="eastAsia" w:cs="Courier New"/>
          <w:bCs/>
          <w:lang w:eastAsia="zh-CN"/>
        </w:rPr>
        <w:t>对此</w:t>
      </w:r>
      <w:r>
        <w:rPr>
          <w:rFonts w:hint="eastAsia" w:ascii="Times New Roman" w:hAnsi="Times New Roman" w:cs="Courier New"/>
          <w:bCs/>
          <w:lang w:eastAsia="zh-CN"/>
        </w:rPr>
        <w:t>不服</w:t>
      </w:r>
      <w:r>
        <w:rPr>
          <w:rFonts w:hint="eastAsia" w:cs="Courier New"/>
          <w:bCs/>
          <w:lang w:eastAsia="zh-CN"/>
        </w:rPr>
        <w:t>。</w:t>
      </w:r>
      <w:r>
        <w:rPr>
          <w:rFonts w:hint="eastAsia" w:ascii="Times New Roman" w:hAnsi="Times New Roman" w:cs="Courier New"/>
          <w:bCs/>
          <w:lang w:eastAsia="zh-CN"/>
        </w:rPr>
        <w:t>《市场监督管理行政处罚程序规定》第二十条第一款规定了四项情形，被申请人引用法条时并未详细引用到第几条，属于没有法律依据，适用法律错误的情形。被举报人确有抹零行为（多收申请人0.0</w:t>
      </w:r>
      <w:r>
        <w:rPr>
          <w:rFonts w:hint="eastAsia" w:cs="Courier New"/>
          <w:bCs/>
          <w:lang w:val="en-US" w:eastAsia="zh-CN"/>
        </w:rPr>
        <w:t>1</w:t>
      </w:r>
      <w:r>
        <w:rPr>
          <w:rFonts w:hint="eastAsia" w:ascii="Times New Roman" w:hAnsi="Times New Roman" w:cs="Courier New"/>
          <w:bCs/>
          <w:lang w:eastAsia="zh-CN"/>
        </w:rPr>
        <w:t>元），违反了《中华人民共和国价格法》第十三条规定</w:t>
      </w:r>
      <w:r>
        <w:rPr>
          <w:rFonts w:hint="eastAsia" w:cs="Courier New"/>
          <w:bCs/>
          <w:lang w:eastAsia="zh-CN"/>
        </w:rPr>
        <w:t>。</w:t>
      </w:r>
      <w:r>
        <w:rPr>
          <w:rFonts w:hint="eastAsia" w:ascii="Times New Roman" w:hAnsi="Times New Roman" w:cs="Courier New"/>
          <w:bCs/>
          <w:lang w:eastAsia="zh-CN"/>
        </w:rPr>
        <w:t>被申请人根据《中华人民共和国价格法》第四十二条规定，责令其改正，但此法条明确规定要求没收违法所得，无证据证明被申请人履行该职责，其</w:t>
      </w:r>
      <w:r>
        <w:rPr>
          <w:rFonts w:hint="eastAsia" w:cs="Courier New"/>
          <w:bCs/>
          <w:lang w:eastAsia="zh-CN"/>
        </w:rPr>
        <w:t>违反</w:t>
      </w:r>
      <w:r>
        <w:rPr>
          <w:rFonts w:hint="eastAsia" w:ascii="Times New Roman" w:hAnsi="Times New Roman" w:cs="Courier New"/>
          <w:bCs/>
          <w:lang w:eastAsia="zh-CN"/>
        </w:rPr>
        <w:t>了《市场监督管理行政处罚程序规定》第二十一条的规定，属于典型的不作为。根据《食品安全法》第一百二十五条第二款及《食品生产经营监督检查管理办法》第三十七条，标签“瑕疵”的认定需同时满足瑕疵不涉及食品安全</w:t>
      </w:r>
      <w:r>
        <w:rPr>
          <w:rFonts w:hint="eastAsia" w:cs="Courier New"/>
          <w:bCs/>
          <w:lang w:eastAsia="zh-CN"/>
        </w:rPr>
        <w:t>且</w:t>
      </w:r>
      <w:r>
        <w:rPr>
          <w:rFonts w:hint="eastAsia" w:ascii="Times New Roman" w:hAnsi="Times New Roman" w:cs="Courier New"/>
          <w:bCs/>
          <w:lang w:eastAsia="zh-CN"/>
        </w:rPr>
        <w:t>瑕疵不会对消费者造成误导，涉案产品未按照《预包装食品标签通则》</w:t>
      </w:r>
      <w:r>
        <w:rPr>
          <w:rFonts w:hint="eastAsia" w:cs="Courier New"/>
          <w:bCs/>
          <w:lang w:val="en-US" w:eastAsia="zh-CN"/>
        </w:rPr>
        <w:t>4.1.3.1.2</w:t>
      </w:r>
      <w:r>
        <w:rPr>
          <w:rFonts w:hint="eastAsia" w:cs="Courier New"/>
          <w:bCs/>
          <w:lang w:eastAsia="zh-CN"/>
        </w:rPr>
        <w:t>的规定，</w:t>
      </w:r>
      <w:r>
        <w:rPr>
          <w:rFonts w:hint="eastAsia" w:ascii="Times New Roman" w:hAnsi="Times New Roman" w:cs="Courier New"/>
          <w:bCs/>
          <w:lang w:eastAsia="zh-CN"/>
        </w:rPr>
        <w:t>各种配料按制造或加工食品时加入量的递减顺序一一排列。根据《食品安全法》第六十七条，配料表顺序是保障消费者知情权的核心内容，直接影响消费者对食品成分及质量的判断</w:t>
      </w:r>
      <w:r>
        <w:rPr>
          <w:rFonts w:hint="eastAsia" w:cs="Courier New"/>
          <w:bCs/>
          <w:lang w:eastAsia="zh-CN"/>
        </w:rPr>
        <w:t>。</w:t>
      </w:r>
      <w:r>
        <w:rPr>
          <w:rFonts w:hint="eastAsia" w:ascii="Times New Roman" w:hAnsi="Times New Roman" w:cs="Courier New"/>
          <w:bCs/>
          <w:lang w:eastAsia="zh-CN"/>
        </w:rPr>
        <w:t>本案中，配料表顺序错误导致消费者无法判断食品真实成分比例</w:t>
      </w:r>
      <w:r>
        <w:rPr>
          <w:rFonts w:hint="eastAsia" w:cs="Courier New"/>
          <w:bCs/>
          <w:lang w:eastAsia="zh-CN"/>
        </w:rPr>
        <w:t>（</w:t>
      </w:r>
      <w:r>
        <w:rPr>
          <w:rFonts w:hint="eastAsia" w:ascii="Times New Roman" w:hAnsi="Times New Roman" w:cs="Courier New"/>
          <w:bCs/>
          <w:lang w:eastAsia="zh-CN"/>
        </w:rPr>
        <w:t>例如误认为营养成分表是假的，也不确定营养成分表和配料表那个是假的</w:t>
      </w:r>
      <w:r>
        <w:rPr>
          <w:rFonts w:hint="eastAsia" w:cs="Courier New"/>
          <w:bCs/>
          <w:lang w:eastAsia="zh-CN"/>
        </w:rPr>
        <w:t>）</w:t>
      </w:r>
      <w:r>
        <w:rPr>
          <w:rFonts w:hint="eastAsia" w:ascii="Times New Roman" w:hAnsi="Times New Roman" w:cs="Courier New"/>
          <w:bCs/>
          <w:lang w:eastAsia="zh-CN"/>
        </w:rPr>
        <w:t>，不符合“瑕疵”认定条件。被申请人未提供任何证据证明本案符合该前提，仅以主观推断作出结论，违反《行政处罚法》第五条“以事实为依据”原则。</w:t>
      </w:r>
    </w:p>
    <w:p w14:paraId="712B313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Courier New"/>
          <w:bCs/>
          <w:lang w:eastAsia="zh-CN"/>
        </w:rPr>
      </w:pPr>
      <w:r>
        <w:rPr>
          <w:rFonts w:hint="eastAsia" w:cs="Courier New"/>
          <w:bCs/>
          <w:lang w:eastAsia="zh-CN"/>
        </w:rPr>
        <w:t>此外，</w:t>
      </w:r>
      <w:r>
        <w:rPr>
          <w:rFonts w:hint="eastAsia" w:ascii="Times New Roman" w:hAnsi="Times New Roman" w:cs="Courier New"/>
          <w:bCs/>
          <w:lang w:eastAsia="zh-CN"/>
        </w:rPr>
        <w:t>消费者不可能购买食品前先检测再食用，对食品成分只</w:t>
      </w:r>
      <w:r>
        <w:rPr>
          <w:rFonts w:hint="eastAsia" w:cs="Courier New"/>
          <w:bCs/>
          <w:lang w:eastAsia="zh-CN"/>
        </w:rPr>
        <w:t>能</w:t>
      </w:r>
      <w:r>
        <w:rPr>
          <w:rFonts w:hint="eastAsia" w:ascii="Times New Roman" w:hAnsi="Times New Roman" w:cs="Courier New"/>
          <w:bCs/>
          <w:lang w:eastAsia="zh-CN"/>
        </w:rPr>
        <w:t>通过标签知悉，消费者通常默认配料表靠前的配料为产品主要成分</w:t>
      </w:r>
      <w:r>
        <w:rPr>
          <w:rFonts w:hint="eastAsia" w:cs="Courier New"/>
          <w:bCs/>
          <w:lang w:eastAsia="zh-CN"/>
        </w:rPr>
        <w:t>。被举报人</w:t>
      </w:r>
      <w:r>
        <w:rPr>
          <w:rFonts w:hint="eastAsia" w:ascii="Times New Roman" w:hAnsi="Times New Roman" w:cs="Courier New"/>
          <w:bCs/>
          <w:lang w:eastAsia="zh-CN"/>
        </w:rPr>
        <w:t>不遵守《预包装食品标签通则》</w:t>
      </w:r>
      <w:r>
        <w:rPr>
          <w:rFonts w:hint="eastAsia" w:cs="Courier New"/>
          <w:bCs/>
          <w:lang w:eastAsia="zh-CN"/>
        </w:rPr>
        <w:t>的</w:t>
      </w:r>
      <w:r>
        <w:rPr>
          <w:rFonts w:hint="eastAsia" w:ascii="Times New Roman" w:hAnsi="Times New Roman" w:cs="Courier New"/>
          <w:bCs/>
          <w:lang w:eastAsia="zh-CN"/>
        </w:rPr>
        <w:t>规定，配料表随意排列，误导消费者。被申请人</w:t>
      </w:r>
      <w:r>
        <w:rPr>
          <w:rFonts w:hint="eastAsia" w:cs="Courier New"/>
          <w:bCs/>
          <w:lang w:eastAsia="zh-CN"/>
        </w:rPr>
        <w:t>对此</w:t>
      </w:r>
      <w:r>
        <w:rPr>
          <w:rFonts w:hint="eastAsia" w:ascii="Times New Roman" w:hAnsi="Times New Roman" w:cs="Courier New"/>
          <w:bCs/>
          <w:lang w:eastAsia="zh-CN"/>
        </w:rPr>
        <w:t>视而不见，纵容违法者，放纵违法行为，让消费者合法权益始终不能保障。《行政复议法》</w:t>
      </w:r>
      <w:r>
        <w:rPr>
          <w:rFonts w:hint="eastAsia" w:cs="Courier New"/>
          <w:bCs/>
          <w:lang w:eastAsia="zh-CN"/>
        </w:rPr>
        <w:t>第四十四条规定，</w:t>
      </w:r>
      <w:r>
        <w:rPr>
          <w:rFonts w:hint="eastAsia" w:ascii="Times New Roman" w:hAnsi="Times New Roman" w:cs="Courier New"/>
          <w:bCs/>
          <w:lang w:eastAsia="zh-CN"/>
        </w:rPr>
        <w:t>被申请人对其作出的行政行为的合法性、适当性有举证责任。《行政诉讼法》</w:t>
      </w:r>
      <w:r>
        <w:rPr>
          <w:rFonts w:hint="eastAsia" w:cs="Courier New"/>
          <w:bCs/>
          <w:lang w:eastAsia="zh-CN"/>
        </w:rPr>
        <w:t>第三十四</w:t>
      </w:r>
      <w:r>
        <w:rPr>
          <w:rFonts w:hint="eastAsia" w:ascii="Times New Roman" w:hAnsi="Times New Roman" w:cs="Courier New"/>
          <w:bCs/>
          <w:lang w:eastAsia="zh-CN"/>
        </w:rPr>
        <w:t>条规定，被告对作出的行政行为负有举证责任，应当提供作出该行政行为的证据和所依据的规范性文件。申请人</w:t>
      </w:r>
      <w:r>
        <w:rPr>
          <w:rFonts w:hint="eastAsia" w:cs="Courier New"/>
          <w:bCs/>
          <w:lang w:eastAsia="zh-CN"/>
        </w:rPr>
        <w:t>既</w:t>
      </w:r>
      <w:r>
        <w:rPr>
          <w:rFonts w:hint="eastAsia" w:ascii="Times New Roman" w:hAnsi="Times New Roman" w:cs="Courier New"/>
          <w:bCs/>
          <w:lang w:eastAsia="zh-CN"/>
        </w:rPr>
        <w:t>是与行政行为有利害关系的公民也是行政告知行为的相对人，可以提起行政复议申请</w:t>
      </w:r>
      <w:r>
        <w:rPr>
          <w:rFonts w:hint="eastAsia" w:cs="Courier New"/>
          <w:bCs/>
          <w:lang w:eastAsia="zh-CN"/>
        </w:rPr>
        <w:t>。</w:t>
      </w:r>
    </w:p>
    <w:p w14:paraId="07996A25">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lang w:eastAsia="zh-CN"/>
        </w:rPr>
      </w:pPr>
      <w:r>
        <w:rPr>
          <w:rFonts w:hint="eastAsia" w:ascii="Times New Roman" w:hAnsi="Times New Roman"/>
          <w:b/>
          <w:bCs w:val="0"/>
        </w:rPr>
        <w:t>申请人提交证据：</w:t>
      </w:r>
      <w:r>
        <w:rPr>
          <w:rFonts w:hint="eastAsia" w:cs="Courier New"/>
          <w:bCs/>
          <w:lang w:val="en-US" w:eastAsia="zh-CN"/>
        </w:rPr>
        <w:t>申请人居民身份证照片、举报信及附件材料、邮件截图。</w:t>
      </w:r>
    </w:p>
    <w:p w14:paraId="50EC8BC8">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cs="Courier New"/>
          <w:bCs/>
          <w:lang w:val="en-US" w:eastAsia="zh-CN"/>
        </w:rPr>
      </w:pPr>
      <w:r>
        <w:rPr>
          <w:rFonts w:hint="eastAsia" w:ascii="Times New Roman" w:hAnsi="Times New Roman"/>
          <w:b/>
          <w:bCs w:val="0"/>
        </w:rPr>
        <w:t>被申请人称：</w:t>
      </w:r>
      <w:r>
        <w:rPr>
          <w:rFonts w:hint="eastAsia" w:ascii="Times New Roman" w:hAnsi="Times New Roman" w:cs="Courier New"/>
          <w:bCs/>
          <w:lang w:val="en-US" w:eastAsia="zh-CN"/>
        </w:rPr>
        <w:t>一、被申请人已依法履职，程序合法。被申请人于2025年4月16日收到申请人通过全国12315</w:t>
      </w:r>
      <w:r>
        <w:rPr>
          <w:rFonts w:hint="eastAsia" w:cs="Courier New"/>
          <w:bCs/>
          <w:lang w:val="en-US" w:eastAsia="zh-CN"/>
        </w:rPr>
        <w:t>平台提交</w:t>
      </w:r>
      <w:r>
        <w:rPr>
          <w:rFonts w:hint="eastAsia" w:ascii="Times New Roman" w:hAnsi="Times New Roman" w:cs="Courier New"/>
          <w:bCs/>
          <w:lang w:val="en-US" w:eastAsia="zh-CN"/>
        </w:rPr>
        <w:t>的举报，反映其在被举报人</w:t>
      </w:r>
      <w:r>
        <w:rPr>
          <w:rFonts w:hint="eastAsia" w:cs="Courier New"/>
          <w:bCs/>
          <w:lang w:val="en-US" w:eastAsia="zh-CN"/>
        </w:rPr>
        <w:t>处</w:t>
      </w:r>
      <w:r>
        <w:rPr>
          <w:rFonts w:hint="eastAsia" w:ascii="Times New Roman" w:hAnsi="Times New Roman" w:cs="Courier New"/>
          <w:bCs/>
          <w:lang w:val="en-US" w:eastAsia="zh-CN"/>
        </w:rPr>
        <w:t>购买的散称玉米渣</w:t>
      </w:r>
      <w:r>
        <w:rPr>
          <w:rFonts w:hint="eastAsia" w:cs="Courier New"/>
          <w:bCs/>
          <w:lang w:val="en-US" w:eastAsia="zh-CN"/>
        </w:rPr>
        <w:t>被</w:t>
      </w:r>
      <w:r>
        <w:rPr>
          <w:rFonts w:hint="eastAsia" w:ascii="Times New Roman" w:hAnsi="Times New Roman" w:cs="Courier New"/>
          <w:bCs/>
          <w:lang w:val="en-US" w:eastAsia="zh-CN"/>
        </w:rPr>
        <w:t>反向抹零，多收0.01元</w:t>
      </w:r>
      <w:r>
        <w:rPr>
          <w:rFonts w:hint="eastAsia" w:cs="Courier New"/>
          <w:bCs/>
          <w:lang w:val="en-US" w:eastAsia="zh-CN"/>
        </w:rPr>
        <w:t>，且涉案产品某</w:t>
      </w:r>
      <w:r>
        <w:rPr>
          <w:rFonts w:hint="eastAsia" w:ascii="Times New Roman" w:hAnsi="Times New Roman" w:cs="Courier New"/>
          <w:bCs/>
          <w:lang w:val="en-US" w:eastAsia="zh-CN"/>
        </w:rPr>
        <w:t>烩面标签配料未按照加入量递减顺序排列。</w:t>
      </w:r>
    </w:p>
    <w:p w14:paraId="687EC8D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Courier New"/>
          <w:bCs/>
          <w:lang w:val="en-US" w:eastAsia="zh-CN"/>
        </w:rPr>
      </w:pPr>
      <w:r>
        <w:rPr>
          <w:rFonts w:hint="eastAsia" w:ascii="Times New Roman" w:hAnsi="Times New Roman" w:cs="Courier New"/>
          <w:bCs/>
          <w:lang w:val="en-US" w:eastAsia="zh-CN"/>
        </w:rPr>
        <w:t>根据《市场监督管理举报处理暂行办法》第三十一条第一款及《市场监督管理行政处罚程序规定》第十八条第一款的规定，被申请人于4月17日对被举报人进行现场核查，被举报人确有反向抹零的行为</w:t>
      </w:r>
      <w:r>
        <w:rPr>
          <w:rFonts w:hint="eastAsia" w:cs="Courier New"/>
          <w:bCs/>
          <w:lang w:val="en-US" w:eastAsia="zh-CN"/>
        </w:rPr>
        <w:t>，且涉案产品</w:t>
      </w:r>
      <w:r>
        <w:rPr>
          <w:rFonts w:hint="eastAsia" w:ascii="Times New Roman" w:hAnsi="Times New Roman" w:cs="Courier New"/>
          <w:bCs/>
          <w:lang w:val="en-US" w:eastAsia="zh-CN"/>
        </w:rPr>
        <w:t>标签配料未按照加入量递减顺序排列。被举报人反向抹零的行为，违反了《中华人民共和国价格法》第十三条的规定</w:t>
      </w:r>
      <w:r>
        <w:rPr>
          <w:rFonts w:hint="eastAsia" w:cs="Courier New"/>
          <w:bCs/>
          <w:lang w:val="en-US" w:eastAsia="zh-CN"/>
        </w:rPr>
        <w:t>。涉案产品配料表为：小麦粉、鸡蛋粉、食用盐、水、食品添加剂，违反了《预包装食品标签通则》第4.1.3.1.2的规定。对于申请人提出水的配料表顺序有误问题，该食品配料中水及食用盐都是辅料，含量较低，不属于标签特别强调配料，因此没有夸大宣传，不影响食品安全且不会对消费者造成误导，</w:t>
      </w:r>
      <w:r>
        <w:rPr>
          <w:rFonts w:hint="eastAsia" w:ascii="Times New Roman" w:hAnsi="Times New Roman" w:cs="Courier New"/>
          <w:bCs/>
          <w:lang w:val="en-US" w:eastAsia="zh-CN"/>
        </w:rPr>
        <w:t>依据《食品生产经营监督检查管理办法》第三十七条第二款第四项及《中华人民共和国食品安全法》第一百四十八条</w:t>
      </w:r>
      <w:r>
        <w:rPr>
          <w:rFonts w:hint="eastAsia" w:cs="Courier New"/>
          <w:bCs/>
          <w:lang w:val="en-US" w:eastAsia="zh-CN"/>
        </w:rPr>
        <w:t>的</w:t>
      </w:r>
      <w:r>
        <w:rPr>
          <w:rFonts w:hint="eastAsia" w:ascii="Times New Roman" w:hAnsi="Times New Roman" w:cs="Courier New"/>
          <w:bCs/>
          <w:lang w:val="en-US" w:eastAsia="zh-CN"/>
        </w:rPr>
        <w:t>规定，认定为标签瑕疵。鉴于在调查过程中，</w:t>
      </w:r>
      <w:r>
        <w:rPr>
          <w:rFonts w:hint="eastAsia" w:cs="Courier New"/>
          <w:bCs/>
          <w:lang w:val="en-US" w:eastAsia="zh-CN"/>
        </w:rPr>
        <w:t>被举报人</w:t>
      </w:r>
      <w:r>
        <w:rPr>
          <w:rFonts w:hint="eastAsia" w:ascii="Times New Roman" w:hAnsi="Times New Roman" w:cs="Courier New"/>
          <w:bCs/>
          <w:lang w:val="en-US" w:eastAsia="zh-CN"/>
        </w:rPr>
        <w:t>积极配合</w:t>
      </w:r>
      <w:r>
        <w:rPr>
          <w:rFonts w:hint="eastAsia" w:cs="Courier New"/>
          <w:bCs/>
          <w:lang w:val="en-US" w:eastAsia="zh-CN"/>
        </w:rPr>
        <w:t>被申请人</w:t>
      </w:r>
      <w:r>
        <w:rPr>
          <w:rFonts w:hint="eastAsia" w:ascii="Times New Roman" w:hAnsi="Times New Roman" w:cs="Courier New"/>
          <w:bCs/>
          <w:lang w:val="en-US" w:eastAsia="zh-CN"/>
        </w:rPr>
        <w:t>调查并主动提供材料，</w:t>
      </w:r>
      <w:r>
        <w:rPr>
          <w:rFonts w:hint="eastAsia" w:cs="Courier New"/>
          <w:bCs/>
          <w:lang w:val="en-US" w:eastAsia="zh-CN"/>
        </w:rPr>
        <w:t>又因为其</w:t>
      </w:r>
      <w:r>
        <w:rPr>
          <w:rFonts w:hint="eastAsia" w:ascii="Times New Roman" w:hAnsi="Times New Roman" w:cs="Courier New"/>
          <w:bCs/>
          <w:lang w:val="en-US" w:eastAsia="zh-CN"/>
        </w:rPr>
        <w:t>初次违法</w:t>
      </w:r>
      <w:r>
        <w:rPr>
          <w:rFonts w:hint="eastAsia" w:cs="Courier New"/>
          <w:bCs/>
          <w:lang w:val="en-US" w:eastAsia="zh-CN"/>
        </w:rPr>
        <w:t>且</w:t>
      </w:r>
      <w:r>
        <w:rPr>
          <w:rFonts w:hint="eastAsia" w:ascii="Times New Roman" w:hAnsi="Times New Roman" w:cs="Courier New"/>
          <w:bCs/>
          <w:lang w:val="en-US" w:eastAsia="zh-CN"/>
        </w:rPr>
        <w:t>非主观故意，违法所得金额小</w:t>
      </w:r>
      <w:r>
        <w:rPr>
          <w:rFonts w:hint="eastAsia" w:cs="Courier New"/>
          <w:bCs/>
          <w:lang w:val="en-US" w:eastAsia="zh-CN"/>
        </w:rPr>
        <w:t>，</w:t>
      </w:r>
      <w:r>
        <w:rPr>
          <w:rFonts w:hint="eastAsia" w:ascii="Times New Roman" w:hAnsi="Times New Roman" w:cs="Courier New"/>
          <w:bCs/>
          <w:lang w:val="en-US" w:eastAsia="zh-CN"/>
        </w:rPr>
        <w:t>食品标签存在瑕疵，属于经营环节，符合《市场监督管理行政处罚程序规定》第二十条</w:t>
      </w:r>
      <w:r>
        <w:rPr>
          <w:rFonts w:hint="eastAsia" w:cs="Courier New"/>
          <w:bCs/>
          <w:lang w:val="en-US" w:eastAsia="zh-CN"/>
        </w:rPr>
        <w:t>第二款不予立案的情形</w:t>
      </w:r>
      <w:r>
        <w:rPr>
          <w:rFonts w:hint="eastAsia" w:ascii="Times New Roman" w:hAnsi="Times New Roman" w:cs="Courier New"/>
          <w:bCs/>
          <w:lang w:val="en-US" w:eastAsia="zh-CN"/>
        </w:rPr>
        <w:t>，</w:t>
      </w:r>
      <w:r>
        <w:rPr>
          <w:rFonts w:hint="eastAsia" w:cs="Courier New"/>
          <w:bCs/>
          <w:lang w:val="en-US" w:eastAsia="zh-CN"/>
        </w:rPr>
        <w:t>申请人遂</w:t>
      </w:r>
      <w:r>
        <w:rPr>
          <w:rFonts w:hint="eastAsia" w:ascii="Times New Roman" w:hAnsi="Times New Roman" w:cs="Courier New"/>
          <w:bCs/>
          <w:lang w:val="en-US" w:eastAsia="zh-CN"/>
        </w:rPr>
        <w:t>决定不予立案，责令</w:t>
      </w:r>
      <w:r>
        <w:rPr>
          <w:rFonts w:hint="eastAsia" w:cs="Courier New"/>
          <w:bCs/>
          <w:lang w:val="en-US" w:eastAsia="zh-CN"/>
        </w:rPr>
        <w:t>其</w:t>
      </w:r>
      <w:r>
        <w:rPr>
          <w:rFonts w:hint="eastAsia" w:ascii="Times New Roman" w:hAnsi="Times New Roman" w:cs="Courier New"/>
          <w:bCs/>
          <w:lang w:val="en-US" w:eastAsia="zh-CN"/>
        </w:rPr>
        <w:t>改正并退还多收费用。根据《市场监督管理投诉举报处理暂行办法》第三十一条第二款的规定，被申请人于5月7日通过电子邮件及全国12315平台告知申请人上述不予立案</w:t>
      </w:r>
      <w:r>
        <w:rPr>
          <w:rFonts w:hint="eastAsia" w:cs="Courier New"/>
          <w:bCs/>
          <w:lang w:val="en-US" w:eastAsia="zh-CN"/>
        </w:rPr>
        <w:t>事项</w:t>
      </w:r>
      <w:r>
        <w:rPr>
          <w:rFonts w:hint="eastAsia" w:ascii="Times New Roman" w:hAnsi="Times New Roman" w:cs="Courier New"/>
          <w:bCs/>
          <w:lang w:val="en-US" w:eastAsia="zh-CN"/>
        </w:rPr>
        <w:t>。</w:t>
      </w:r>
    </w:p>
    <w:p w14:paraId="0064576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Courier New"/>
          <w:bCs/>
          <w:lang w:val="en-US" w:eastAsia="zh-CN"/>
        </w:rPr>
      </w:pPr>
      <w:r>
        <w:rPr>
          <w:rFonts w:hint="eastAsia" w:ascii="Times New Roman" w:hAnsi="Times New Roman" w:cs="Courier New"/>
          <w:bCs/>
          <w:lang w:val="en-US" w:eastAsia="zh-CN"/>
        </w:rPr>
        <w:t>二、关于《回复》未告知申请人详细引用法条，没有法律依据、适用法律错误的答复。根据《市场监督管理投诉举报处理暂行办法》第三十一条的规定可知，举报类的回复告知，市场监管部门对举报人负有程序性告知是否立案的义务，被申请人依法履责，认定事实清楚、程序合法。依据《关于印发〈市场监督管理部门处理投诉举报文书式样〉的通知》（国市监网监（2019）242号）文书式样《举报不予立案告知书》标注“可以通过互联网、电话、短信、电子邮件、传真、信函等方式告知”的规定，被申请人的前述告知形式符合规定要求。</w:t>
      </w:r>
    </w:p>
    <w:p w14:paraId="10FE1F1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Courier New"/>
          <w:bCs/>
          <w:lang w:val="en-US" w:eastAsia="zh-CN"/>
        </w:rPr>
      </w:pPr>
      <w:r>
        <w:rPr>
          <w:rFonts w:hint="eastAsia" w:cs="Courier New"/>
          <w:bCs/>
          <w:lang w:val="en-US" w:eastAsia="zh-CN"/>
        </w:rPr>
        <w:t>三</w:t>
      </w:r>
      <w:r>
        <w:rPr>
          <w:rFonts w:hint="eastAsia" w:ascii="Times New Roman" w:hAnsi="Times New Roman" w:cs="Courier New"/>
          <w:bCs/>
          <w:lang w:val="en-US" w:eastAsia="zh-CN"/>
        </w:rPr>
        <w:t>、申请人不具有行政复议申请人的资格。本案中</w:t>
      </w:r>
      <w:r>
        <w:rPr>
          <w:rFonts w:hint="eastAsia" w:cs="Courier New"/>
          <w:bCs/>
          <w:lang w:val="en-US" w:eastAsia="zh-CN"/>
        </w:rPr>
        <w:t>，</w:t>
      </w:r>
      <w:r>
        <w:rPr>
          <w:rFonts w:hint="eastAsia" w:ascii="Times New Roman" w:hAnsi="Times New Roman" w:cs="Courier New"/>
          <w:bCs/>
          <w:lang w:val="en-US" w:eastAsia="zh-CN"/>
        </w:rPr>
        <w:t>申请人在同一天提出的两起行政复议申请，系于同一时间段（2025年3月26日14：36与3月26日14：53）在赣榆区墩尚镇两家不同经营单位分别购买4件商品，以相同理由（反向抹零及标签不符合规定）向被申请人进行举报，要求被举报人赔偿并对其举报进行奖励，行为明显不符合《中华人民共和国消费者权益保护法》的立法目的，可认定申请人购买目的并非用于个人及家庭消费使用，不属于普通的消费者。被申请人已告知申请人可随时联系退还多收费用，其也未联系退还。被申请人通过全国12315平台查询，申请人累计投诉225次、举报49次，行为明显与正常消费者和一般举报人不符，显然超出了正常消费者和一般举报人的范畴。根据《中华人民共和国行政复议法》第二条、第三十条第一款第（五）项的规定，公民申请行政复议应当以保护自身合法权益为前提，复议机关受理行政复议申请应当审查申请是否属于本法规定的行政复议范围。</w:t>
      </w:r>
    </w:p>
    <w:p w14:paraId="6D13E17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Courier New"/>
          <w:bCs/>
          <w:lang w:val="en-US" w:eastAsia="zh-CN"/>
        </w:rPr>
      </w:pPr>
      <w:r>
        <w:rPr>
          <w:rFonts w:hint="eastAsia" w:ascii="Times New Roman" w:hAnsi="Times New Roman" w:cs="Courier New"/>
          <w:bCs/>
          <w:lang w:val="en-US" w:eastAsia="zh-CN"/>
        </w:rPr>
        <w:t>申请人作为举报人向市场监管部门反映被举报人存在违法行为，本质上系为市场监管部门履行监管职责提供线索，市场监管部门对符合条件的举报有依法接受并作出相应答复的义务，但是否启动对被举报人的查处以及如何查处，则应由市场监管部门依职权进行判断，其执法目的在于维护作为公共利益的市场秩序，执法行为的结果也主要是对涉事被举报人及市场秩序产生影响，对申请人个人的权利义务则不会产生实质影响。被申请人对申请人的举报事项经调查不予立案，并告知申请人。该告知系被申请人为维护作为公共利益的市场秩序，履行答复投诉举报的职责，该程序性的告知行为未对作为举报人的申请人的合法权益产生实际影响，在此情况下，申请人对被申请人不予立案的答复提起行政复议申请，明显缺乏利益基础，申请人的复议申请不符合《中华人民共和国行政复议法》第三十条第一款第二项的规定，综上，申请人不具备行政复议申请人的资格。</w:t>
      </w:r>
    </w:p>
    <w:p w14:paraId="7960A78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Courier New"/>
          <w:bCs/>
          <w:lang w:val="en-US" w:eastAsia="zh-CN"/>
        </w:rPr>
      </w:pPr>
      <w:r>
        <w:rPr>
          <w:rFonts w:hint="eastAsia" w:ascii="Times New Roman" w:hAnsi="Times New Roman" w:cs="Courier New"/>
          <w:bCs/>
          <w:lang w:val="en-US" w:eastAsia="zh-CN"/>
        </w:rPr>
        <w:t>综上所述，被申请人已依法履行职责，并在规定的期限内将举报处理情况告知申请人，申请人提出行政复议的事实与理由不成立，请依法驳回。</w:t>
      </w:r>
    </w:p>
    <w:p w14:paraId="7EE495D9">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lang w:val="en-US" w:eastAsia="zh-CN"/>
        </w:rPr>
      </w:pPr>
      <w:r>
        <w:rPr>
          <w:rFonts w:hint="eastAsia" w:ascii="Times New Roman" w:hAnsi="Times New Roman"/>
          <w:b/>
          <w:bCs w:val="0"/>
        </w:rPr>
        <w:t>被申请人提交证据：</w:t>
      </w:r>
      <w:r>
        <w:rPr>
          <w:rFonts w:hint="eastAsia" w:cs="Courier New"/>
          <w:bCs/>
          <w:lang w:val="en-US" w:eastAsia="zh-CN"/>
        </w:rPr>
        <w:t>举报单及附件材料、营业执照2张、食品经营许可证2张、经营者身份证复印件、现场笔录2份、“综合查一次”检查表、现场检查照片6张、责令改正通知书及送达回证、询问笔录、商业管理系统截图、国家企业信用信息公示系统截图、江苏省市场监管综合执法平台2.0截图、不予立案审批表、邮件截图、全国12315平台截图1张。</w:t>
      </w:r>
    </w:p>
    <w:p w14:paraId="2C2F8942">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cs="Courier New"/>
          <w:bCs/>
          <w:lang w:val="en-US" w:eastAsia="zh-CN"/>
        </w:rPr>
      </w:pPr>
      <w:r>
        <w:rPr>
          <w:rFonts w:hint="eastAsia" w:ascii="Times New Roman" w:hAnsi="Times New Roman" w:eastAsia="仿宋_GB2312"/>
          <w:b/>
          <w:bCs w:val="0"/>
          <w:sz w:val="32"/>
        </w:rPr>
        <w:t>经审理查明：</w:t>
      </w:r>
      <w:r>
        <w:rPr>
          <w:rFonts w:hint="eastAsia" w:ascii="Times New Roman" w:hAnsi="Times New Roman" w:cs="Courier New"/>
          <w:bCs/>
          <w:lang w:val="en-US" w:eastAsia="zh-CN"/>
        </w:rPr>
        <w:t>被申请人于2025年</w:t>
      </w:r>
      <w:r>
        <w:rPr>
          <w:rFonts w:hint="eastAsia" w:cs="Courier New"/>
          <w:bCs/>
          <w:lang w:val="en-US" w:eastAsia="zh-CN"/>
        </w:rPr>
        <w:t>4</w:t>
      </w:r>
      <w:r>
        <w:rPr>
          <w:rFonts w:hint="eastAsia" w:ascii="Times New Roman" w:hAnsi="Times New Roman" w:cs="Courier New"/>
          <w:bCs/>
          <w:lang w:val="en-US" w:eastAsia="zh-CN"/>
        </w:rPr>
        <w:t>月</w:t>
      </w:r>
      <w:r>
        <w:rPr>
          <w:rFonts w:hint="eastAsia" w:cs="Courier New"/>
          <w:bCs/>
          <w:lang w:val="en-US" w:eastAsia="zh-CN"/>
        </w:rPr>
        <w:t>14</w:t>
      </w:r>
      <w:r>
        <w:rPr>
          <w:rFonts w:hint="eastAsia" w:ascii="Times New Roman" w:hAnsi="Times New Roman" w:cs="Courier New"/>
          <w:bCs/>
          <w:lang w:val="en-US" w:eastAsia="zh-CN"/>
        </w:rPr>
        <w:t>日收到申请人</w:t>
      </w:r>
      <w:r>
        <w:rPr>
          <w:rFonts w:hint="eastAsia" w:cs="Courier New"/>
          <w:bCs/>
          <w:lang w:val="en-US" w:eastAsia="zh-CN"/>
        </w:rPr>
        <w:t>邮寄的举报信，称其在被举报人处购买的散称玉米渣被反向抹零，多收0.01元，且涉案产品某烩面标签配料未按照加入量递减顺序排列。要求：赔偿、查处、奖励、行政处罚并录入信用档案、向社会公布。被申请人于4月17日对被举报人进行现场核查，对于反向抹零问题，经核查，被举报人存在该行为，违反了《中华人民共和国价格法》第十三条的规定。被申请人遂于当日向被举报人下达赣市监责改〔2025〕D041702号责令改正通知书，要求其禁止反向抹零并退还多收取的费用。对于涉案产品标签配料未按照加入量递减顺序排列问题，经核查，该产品存在被举报的情形，违反了《预包装食品标签通则》第4.1.3.1.2的规定，被申请人遂于当日向被举报人下达赣市监责改〔2025〕D041702号责令改正通知书，要求其禁止销售标签瑕疵食品。4月18日，被申请人对被举报人进行询问，被举报人表示反向抹零非主观故意，会马上整改，申请人可随时联系退还差价。经查询国家企业信用信息公示系统和江苏省市场监管综合执法平台2.0，被申请人未发现被举报人存在此类违法记录，遂认定该次违法为初次违法。4月22日，被申请人对被举报人进行现场检查，发现产品销售价格中小数点后第三位直接抹零不再进位，反向抹零行为已经改正，且已经下架标签瑕疵食品，因被举报人初次违法，危害后果轻微，且已及时改正，被申请人遂于4月28日决定不予立案，并于5月7日通过电子邮件告知申请人上述事项。</w:t>
      </w:r>
      <w:r>
        <w:rPr>
          <w:rFonts w:hint="eastAsia" w:ascii="Times New Roman" w:hAnsi="Times New Roman" w:cs="Courier New"/>
          <w:bCs/>
          <w:lang w:val="en-US" w:eastAsia="zh-CN"/>
        </w:rPr>
        <w:t>申请人</w:t>
      </w:r>
      <w:r>
        <w:rPr>
          <w:rFonts w:hint="eastAsia" w:cs="Courier New"/>
          <w:bCs/>
          <w:lang w:val="en-US" w:eastAsia="zh-CN"/>
        </w:rPr>
        <w:t>不服被申请人不予立案行为，提起行政复议申请。</w:t>
      </w:r>
    </w:p>
    <w:p w14:paraId="77DC559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以上事实有申请人、被申请人提交的证据证实。</w:t>
      </w:r>
    </w:p>
    <w:p w14:paraId="74096E4B">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cs="Courier New"/>
          <w:bCs/>
          <w:kern w:val="2"/>
          <w:sz w:val="32"/>
          <w:szCs w:val="21"/>
          <w:lang w:val="en-US" w:eastAsia="zh-CN" w:bidi="ar-SA"/>
        </w:rPr>
      </w:pPr>
      <w:r>
        <w:rPr>
          <w:rFonts w:hint="eastAsia" w:ascii="Times New Roman" w:hAnsi="Times New Roman" w:eastAsia="仿宋_GB2312"/>
          <w:b/>
          <w:bCs w:val="0"/>
          <w:sz w:val="32"/>
        </w:rPr>
        <w:t>本机关认为：</w:t>
      </w:r>
      <w:r>
        <w:rPr>
          <w:rFonts w:hint="eastAsia" w:ascii="Times New Roman" w:hAnsi="Times New Roman" w:eastAsia="仿宋_GB2312" w:cs="Courier New"/>
          <w:bCs/>
          <w:kern w:val="2"/>
          <w:sz w:val="32"/>
          <w:szCs w:val="21"/>
          <w:lang w:val="en-US" w:eastAsia="zh-CN" w:bidi="ar-SA"/>
        </w:rPr>
        <w:t>《市场监督管理投诉举报处理暂行办法》第四条第二款规定：“县级以上地方市场监督管理部门负责本行政区域内的投诉举报处理工作”</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被申请人负有处理本辖区内投诉举报的法定职责。《市场监督管理行政处罚程序规定》第十八条第一款规定：“市场监督管理部门对依据监督检查职权或者通过投诉、举报、其他部门移送、上级交办等途径发现的违法行为线索</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应当自发现线索或者收到材料之日起十五个工作日内予以核查</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由市场监督管理部门负责人决定是否立案</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特殊情况下</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经市场监督管理部门负责人批准</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可以延长十五个工作日。法律、法规、规章另有规定的除外。”《市场监督管理行政处罚程序规定》第二十条第一款第</w:t>
      </w:r>
      <w:r>
        <w:rPr>
          <w:rFonts w:hint="eastAsia" w:cs="Courier New"/>
          <w:bCs/>
          <w:kern w:val="2"/>
          <w:sz w:val="32"/>
          <w:szCs w:val="21"/>
          <w:lang w:val="en-US" w:eastAsia="zh-CN" w:bidi="ar-SA"/>
        </w:rPr>
        <w:t>（二）</w:t>
      </w:r>
      <w:r>
        <w:rPr>
          <w:rFonts w:hint="eastAsia" w:ascii="Times New Roman" w:hAnsi="Times New Roman" w:eastAsia="仿宋_GB2312" w:cs="Courier New"/>
          <w:bCs/>
          <w:kern w:val="2"/>
          <w:sz w:val="32"/>
          <w:szCs w:val="21"/>
          <w:lang w:val="en-US" w:eastAsia="zh-CN" w:bidi="ar-SA"/>
        </w:rPr>
        <w:t>项规定</w:t>
      </w:r>
      <w:r>
        <w:rPr>
          <w:rFonts w:hint="eastAsia" w:cs="Courier New"/>
          <w:bCs/>
          <w:kern w:val="2"/>
          <w:sz w:val="32"/>
          <w:szCs w:val="21"/>
          <w:lang w:val="en-US" w:eastAsia="zh-CN" w:bidi="ar-SA"/>
        </w:rPr>
        <w:t>：“经核查，有下列情形之一的，可以不予立案：……（二）初次违法且危害后果轻微并及时改正；……”</w:t>
      </w:r>
      <w:r>
        <w:rPr>
          <w:rFonts w:hint="eastAsia" w:ascii="Times New Roman" w:hAnsi="Times New Roman" w:eastAsia="仿宋_GB2312" w:cs="Courier New"/>
          <w:bCs/>
          <w:kern w:val="2"/>
          <w:sz w:val="32"/>
          <w:szCs w:val="21"/>
          <w:lang w:val="en-US" w:eastAsia="zh-CN" w:bidi="ar-SA"/>
        </w:rPr>
        <w:t>《市场监督管理投诉举报处理暂行办法》第三十一条第二款规定：“举报人实名举报的</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有处理权限的市场监督管理部门还应当自作出是否立案决定之日起五个工作日内告知举报人。”本案中</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被申请人</w:t>
      </w:r>
      <w:r>
        <w:rPr>
          <w:rFonts w:hint="eastAsia" w:cs="Courier New"/>
          <w:bCs/>
          <w:kern w:val="2"/>
          <w:sz w:val="32"/>
          <w:szCs w:val="21"/>
          <w:lang w:val="en-US" w:eastAsia="zh-CN" w:bidi="ar-SA"/>
        </w:rPr>
        <w:t>收到申请人举报后，在法定期限内</w:t>
      </w:r>
      <w:r>
        <w:rPr>
          <w:rFonts w:hint="eastAsia" w:ascii="Times New Roman" w:hAnsi="Times New Roman" w:eastAsia="仿宋_GB2312" w:cs="Courier New"/>
          <w:bCs/>
          <w:kern w:val="2"/>
          <w:sz w:val="32"/>
          <w:szCs w:val="21"/>
          <w:lang w:val="en-US" w:eastAsia="zh-CN" w:bidi="ar-SA"/>
        </w:rPr>
        <w:t>核查。经核查</w:t>
      </w:r>
      <w:r>
        <w:rPr>
          <w:rFonts w:hint="eastAsia" w:cs="Courier New"/>
          <w:bCs/>
          <w:kern w:val="2"/>
          <w:sz w:val="32"/>
          <w:szCs w:val="21"/>
          <w:lang w:val="en-US" w:eastAsia="zh-CN" w:bidi="ar-SA"/>
        </w:rPr>
        <w:t>，被举报人</w:t>
      </w:r>
      <w:r>
        <w:rPr>
          <w:rFonts w:hint="eastAsia" w:ascii="Times New Roman" w:hAnsi="Times New Roman" w:eastAsia="仿宋_GB2312" w:cs="Courier New"/>
          <w:bCs/>
          <w:kern w:val="2"/>
          <w:sz w:val="32"/>
          <w:szCs w:val="21"/>
          <w:lang w:val="en-US" w:eastAsia="zh-CN" w:bidi="ar-SA"/>
        </w:rPr>
        <w:t>初次违法</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危害后果轻微</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且已及时改正</w:t>
      </w:r>
      <w:r>
        <w:rPr>
          <w:rFonts w:hint="eastAsia" w:cs="Courier New"/>
          <w:bCs/>
          <w:kern w:val="2"/>
          <w:sz w:val="32"/>
          <w:szCs w:val="21"/>
          <w:lang w:val="en-US" w:eastAsia="zh-CN" w:bidi="ar-SA"/>
        </w:rPr>
        <w:t>，遂在法定期限内作出不予立案决定并在规定期限内告知申请人，符合上述规定。</w:t>
      </w:r>
    </w:p>
    <w:p w14:paraId="5AF53897">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综上所述，被申请人作出的举报处理认定事实清楚、证据确凿、适用依据正确、程序合法、内容适当。根据《中华人民共和国行政复议法》第六十八条之规定，本机关决定如下：</w:t>
      </w:r>
    </w:p>
    <w:p w14:paraId="6DA2734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维持被申请人连云港市赣榆区市场监督管理局于2025年4月28日对申请人孙某举报被举报人天惠超市作出的不予立案决定。</w:t>
      </w:r>
    </w:p>
    <w:p w14:paraId="1F59FA7A">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申请人如对本决定不服，可以自接到本决定之日起15日内向连云港经济技术开发区人民法院提起行政诉讼。</w:t>
      </w:r>
    </w:p>
    <w:p w14:paraId="431680BA">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p>
    <w:p w14:paraId="4EB8870F">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p>
    <w:p w14:paraId="474BC6B6">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p>
    <w:p w14:paraId="6FD5C11D">
      <w:pPr>
        <w:pStyle w:val="4"/>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 xml:space="preserve">2025年7月15日        </w:t>
      </w:r>
    </w:p>
    <w:p w14:paraId="57B7B994">
      <w:pPr>
        <w:pStyle w:val="2"/>
        <w:keepNext w:val="0"/>
        <w:keepLines w:val="0"/>
        <w:pageBreakBefore w:val="0"/>
        <w:widowControl w:val="0"/>
        <w:kinsoku/>
        <w:wordWrap w:val="0"/>
        <w:overflowPunct/>
        <w:topLinePunct w:val="0"/>
        <w:autoSpaceDE/>
        <w:autoSpaceDN/>
        <w:bidi w:val="0"/>
        <w:spacing w:line="560" w:lineRule="exact"/>
        <w:ind w:left="0" w:leftChars="0" w:firstLine="0" w:firstLineChars="0"/>
        <w:jc w:val="both"/>
        <w:textAlignment w:val="auto"/>
        <w:rPr>
          <w:rFonts w:hint="eastAsia" w:ascii="Times New Roman" w:hAnsi="Times New Roman" w:eastAsia="仿宋_GB2312"/>
          <w:sz w:val="32"/>
          <w:lang w:val="en-US" w:eastAsia="zh-CN"/>
        </w:rPr>
      </w:pPr>
      <w:bookmarkStart w:id="0" w:name="_GoBack"/>
      <w:bookmarkEnd w:id="0"/>
      <w:r>
        <w:rPr>
          <w:rFonts w:hint="eastAsia" w:ascii="Times New Roman" w:hAnsi="Times New Roman" w:eastAsia="仿宋_GB2312"/>
          <w:sz w:val="32"/>
          <w:lang w:val="en-US" w:eastAsia="zh-CN"/>
        </w:rPr>
        <w:br w:type="page"/>
      </w:r>
    </w:p>
    <w:p w14:paraId="19B123EE">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ascii="Times New Roman" w:hAnsi="Times New Roman"/>
        </w:rPr>
      </w:pPr>
      <w:r>
        <w:rPr>
          <w:rFonts w:hint="eastAsia" w:ascii="Times New Roman" w:hAnsi="Times New Roman"/>
        </w:rPr>
        <w:t>附：本决定适用的相关法律依据：</w:t>
      </w:r>
    </w:p>
    <w:p w14:paraId="09EE67DA">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ascii="Times New Roman" w:hAnsi="Times New Roman"/>
          <w:b/>
          <w:bCs w:val="0"/>
        </w:rPr>
      </w:pPr>
      <w:r>
        <w:rPr>
          <w:rFonts w:hint="eastAsia" w:ascii="Times New Roman" w:hAnsi="Times New Roman"/>
          <w:b/>
          <w:bCs w:val="0"/>
        </w:rPr>
        <w:t>《中华人民共和国行政复议法》</w:t>
      </w:r>
    </w:p>
    <w:p w14:paraId="2951B101">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第六十八条　行政行为认定事实清楚，证据确凿，适用依据正确，程序合法，内容适当的，行政复议机关决定维持该行政行为。</w:t>
      </w:r>
    </w:p>
    <w:p w14:paraId="5FE68248">
      <w:pPr>
        <w:keepNext w:val="0"/>
        <w:keepLines w:val="0"/>
        <w:pageBreakBefore w:val="0"/>
        <w:widowControl w:val="0"/>
        <w:kinsoku/>
        <w:overflowPunct/>
        <w:topLinePunct w:val="0"/>
        <w:autoSpaceDE/>
        <w:autoSpaceDN/>
        <w:bidi w:val="0"/>
        <w:spacing w:line="560" w:lineRule="exact"/>
        <w:textAlignment w:val="auto"/>
      </w:pPr>
    </w:p>
    <w:sectPr>
      <w:headerReference r:id="rId3" w:type="default"/>
      <w:footerReference r:id="rId4" w:type="default"/>
      <w:footerReference r:id="rId5" w:type="even"/>
      <w:pgSz w:w="11907" w:h="16840"/>
      <w:pgMar w:top="1588" w:right="1588" w:bottom="1588" w:left="1588" w:header="851" w:footer="1418" w:gutter="0"/>
      <w:pgNumType w:fmt="numberInDash"/>
      <w:cols w:space="720"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1B1F">
    <w:pPr>
      <w:pStyle w:val="5"/>
      <w:jc w:val="both"/>
      <w:rPr>
        <w:rFonts w:ascii="Times New Roman" w:hAnsi="Times New Roman"/>
        <w:sz w:val="28"/>
      </w:rPr>
    </w:pPr>
    <w:r>
      <w:rPr>
        <w:rFonts w:ascii="Times New Roman" w:hAnsi="Times New Roman"/>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286D7F">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1286D7F">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C6ED">
    <w:pPr>
      <w:pStyle w:val="5"/>
      <w:framePr w:wrap="around" w:vAnchor="text" w:hAnchor="margin" w:xAlign="center" w:y="1"/>
      <w:rPr>
        <w:rStyle w:val="9"/>
        <w:rFonts w:ascii="Times New Roman" w:hAnsi="Times New Roman"/>
      </w:rPr>
    </w:pPr>
    <w:r>
      <w:rPr>
        <w:rFonts w:ascii="Times New Roman" w:hAnsi="Times New Roman"/>
      </w:rPr>
      <w:fldChar w:fldCharType="begin"/>
    </w:r>
    <w:r>
      <w:rPr>
        <w:rStyle w:val="9"/>
        <w:rFonts w:ascii="Times New Roman" w:hAnsi="Times New Roman"/>
        <w:sz w:val="32"/>
        <w:szCs w:val="21"/>
      </w:rPr>
      <w:instrText xml:space="preserve">PAGE  </w:instrText>
    </w:r>
    <w:r>
      <w:rPr>
        <w:rFonts w:ascii="Times New Roman" w:hAnsi="Times New Roman"/>
      </w:rPr>
      <w:fldChar w:fldCharType="end"/>
    </w:r>
  </w:p>
  <w:p w14:paraId="61ADB07A">
    <w:pPr>
      <w:pStyle w:val="5"/>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C081">
    <w:pPr>
      <w:pStyle w:val="6"/>
      <w:pBdr>
        <w:bottom w:val="none" w:color="auto" w:sz="0" w:space="0"/>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9B334"/>
    <w:rsid w:val="05A6419A"/>
    <w:rsid w:val="0FFB942A"/>
    <w:rsid w:val="0FFF4079"/>
    <w:rsid w:val="2EF316C9"/>
    <w:rsid w:val="3AD025D2"/>
    <w:rsid w:val="3F5E53C6"/>
    <w:rsid w:val="3FEBEEB0"/>
    <w:rsid w:val="3FFB7E67"/>
    <w:rsid w:val="475FDFE8"/>
    <w:rsid w:val="4E6F501F"/>
    <w:rsid w:val="56F251E8"/>
    <w:rsid w:val="57BFD02B"/>
    <w:rsid w:val="57DD544F"/>
    <w:rsid w:val="58FFFFA8"/>
    <w:rsid w:val="5EED3484"/>
    <w:rsid w:val="62F86C2F"/>
    <w:rsid w:val="6705276A"/>
    <w:rsid w:val="6DBF2AF7"/>
    <w:rsid w:val="6DEAB656"/>
    <w:rsid w:val="6F37C8A2"/>
    <w:rsid w:val="6F5DBB3F"/>
    <w:rsid w:val="6FD7CE70"/>
    <w:rsid w:val="73E4305E"/>
    <w:rsid w:val="7640544C"/>
    <w:rsid w:val="76EFA695"/>
    <w:rsid w:val="76FDC4F0"/>
    <w:rsid w:val="77EE177A"/>
    <w:rsid w:val="7ADFCE71"/>
    <w:rsid w:val="7AFF6777"/>
    <w:rsid w:val="7DD60673"/>
    <w:rsid w:val="7DDFCAE3"/>
    <w:rsid w:val="7DE341B0"/>
    <w:rsid w:val="7E79B334"/>
    <w:rsid w:val="7F33E76E"/>
    <w:rsid w:val="7F73E37C"/>
    <w:rsid w:val="7F7F83E1"/>
    <w:rsid w:val="7FA087DF"/>
    <w:rsid w:val="7FEF5A55"/>
    <w:rsid w:val="7FFD7EA1"/>
    <w:rsid w:val="7FFF0BFE"/>
    <w:rsid w:val="85EF98CC"/>
    <w:rsid w:val="9EFF3DEA"/>
    <w:rsid w:val="ABAFE773"/>
    <w:rsid w:val="AEF7CB13"/>
    <w:rsid w:val="BB5F0D9B"/>
    <w:rsid w:val="BFAFAD4E"/>
    <w:rsid w:val="C193B3EE"/>
    <w:rsid w:val="CABB4FCB"/>
    <w:rsid w:val="D7CD7DB5"/>
    <w:rsid w:val="DA7FF497"/>
    <w:rsid w:val="DF2F10C1"/>
    <w:rsid w:val="DFDDB6C7"/>
    <w:rsid w:val="DFFBC25B"/>
    <w:rsid w:val="E56C9D2F"/>
    <w:rsid w:val="E78D41ED"/>
    <w:rsid w:val="E78DC6F5"/>
    <w:rsid w:val="E7ECBB55"/>
    <w:rsid w:val="E9FF9617"/>
    <w:rsid w:val="EC7F0034"/>
    <w:rsid w:val="EFF9F638"/>
    <w:rsid w:val="FAF1168E"/>
    <w:rsid w:val="FCEF073D"/>
    <w:rsid w:val="FCFE7CF2"/>
    <w:rsid w:val="FD3E4D3C"/>
    <w:rsid w:val="FDF59DA7"/>
    <w:rsid w:val="FEBB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624"/>
      <w:jc w:val="left"/>
    </w:pPr>
    <w:rPr>
      <w:rFonts w:ascii="Times New Roman" w:hAnsi="Times New Roman" w:eastAsia="仿宋_GB2312" w:cs="Courier New"/>
      <w:bCs/>
      <w:kern w:val="2"/>
      <w:sz w:val="32"/>
      <w:szCs w:val="21"/>
      <w:lang w:val="en-US" w:eastAsia="zh-CN" w:bidi="ar-SA"/>
    </w:rPr>
  </w:style>
  <w:style w:type="paragraph" w:styleId="3">
    <w:name w:val="annotation text"/>
    <w:basedOn w:val="1"/>
    <w:qFormat/>
    <w:uiPriority w:val="0"/>
    <w:pPr>
      <w:jc w:val="left"/>
    </w:pPr>
  </w:style>
  <w:style w:type="paragraph" w:styleId="4">
    <w:name w:val="Plain Text"/>
    <w:qFormat/>
    <w:uiPriority w:val="0"/>
    <w:pPr>
      <w:widowControl w:val="0"/>
      <w:jc w:val="both"/>
    </w:pPr>
    <w:rPr>
      <w:rFonts w:ascii="宋体" w:hAnsi="Courier New" w:eastAsia="宋体" w:cs="Courier New"/>
      <w:bCs/>
      <w:kern w:val="2"/>
      <w:sz w:val="21"/>
      <w:szCs w:val="21"/>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仿宋_GB2312" w:cs="Courier New"/>
      <w:bCs/>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Courier New"/>
      <w:bCs/>
      <w:kern w:val="2"/>
      <w:sz w:val="18"/>
      <w:szCs w:val="18"/>
      <w:lang w:val="en-US" w:eastAsia="zh-CN" w:bidi="ar-SA"/>
    </w:rPr>
  </w:style>
  <w:style w:type="character"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4527</Words>
  <Characters>4672</Characters>
  <Lines>0</Lines>
  <Paragraphs>0</Paragraphs>
  <TotalTime>202</TotalTime>
  <ScaleCrop>false</ScaleCrop>
  <LinksUpToDate>false</LinksUpToDate>
  <CharactersWithSpaces>4689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2025-04-28T11:33:00Z</dcterms:created>
  <dc:creator>sfj</dc:creator>
  <cp:lastModifiedBy>董雪</cp:lastModifiedBy>
  <cp:lastPrinted>2025-07-15T17:29:00Z</cp:lastPrinted>
  <dcterms:modified xsi:type="dcterms:W3CDTF">2026-05-06T14:58:37Z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45DF6D51D024A3BC019BFA69247A0FC7_43</vt:lpwstr>
  </property>
  <property fmtid="{D5CDD505-2E9C-101B-9397-08002B2CF9AE}" pid="4" name="KSOTemplateDocerSaveRecord">
    <vt:lpwstr>eyJoZGlkIjoiMmUwZDllOTY2Y2MzN2Q1ZWEyZGY2NDQ4ZGE4NWEwM2YiLCJ1c2VySWQiOiIzMTA4NzE5NDYifQ==</vt:lpwstr>
  </property>
</Properties>
</file>