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spacing w:line="540" w:lineRule="exact"/>
        <w:jc w:val="center"/>
        <w:textAlignment w:val="auto"/>
        <w:rPr>
          <w:rFonts w:hint="eastAsia" w:ascii="Times New Roman" w:hAnsi="Times New Roman" w:eastAsia="方正小标宋简体" w:cs="Courier New"/>
          <w:bCs/>
          <w:sz w:val="44"/>
          <w:szCs w:val="21"/>
        </w:rPr>
      </w:pPr>
      <w:r>
        <w:rPr>
          <w:rFonts w:hint="eastAsia" w:ascii="Times New Roman" w:hAnsi="Times New Roman" w:eastAsia="方正小标宋简体" w:cs="Courier New"/>
          <w:bCs/>
          <w:sz w:val="44"/>
          <w:szCs w:val="21"/>
        </w:rPr>
        <w:t>连云港市赣榆区人民政府</w:t>
      </w:r>
    </w:p>
    <w:p w14:paraId="6F24132A">
      <w:pPr>
        <w:keepNext w:val="0"/>
        <w:keepLines w:val="0"/>
        <w:pageBreakBefore w:val="0"/>
        <w:widowControl w:val="0"/>
        <w:kinsoku/>
        <w:wordWrap/>
        <w:overflowPunct/>
        <w:topLinePunct w:val="0"/>
        <w:autoSpaceDE/>
        <w:autoSpaceDN/>
        <w:bidi w:val="0"/>
        <w:spacing w:line="540" w:lineRule="exact"/>
        <w:jc w:val="center"/>
        <w:textAlignment w:val="auto"/>
        <w:rPr>
          <w:rFonts w:hint="eastAsia" w:ascii="Times New Roman" w:hAnsi="Times New Roman" w:eastAsia="方正小标宋简体" w:cs="Courier New"/>
          <w:bCs/>
          <w:sz w:val="44"/>
          <w:szCs w:val="21"/>
          <w:lang w:eastAsia="zh-CN"/>
        </w:rPr>
      </w:pPr>
      <w:r>
        <w:rPr>
          <w:rFonts w:hint="eastAsia" w:ascii="Times New Roman" w:hAnsi="Times New Roman" w:eastAsia="方正小标宋简体" w:cs="Courier New"/>
          <w:bCs/>
          <w:sz w:val="44"/>
          <w:szCs w:val="21"/>
        </w:rPr>
        <w:t>行政复议决定书</w:t>
      </w:r>
    </w:p>
    <w:p w14:paraId="0020FE52">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right"/>
        <w:textAlignment w:val="auto"/>
        <w:rPr>
          <w:rFonts w:hint="eastAsia" w:ascii="Times New Roman" w:hAnsi="Times New Roman" w:eastAsia="仿宋_GB2312" w:cs="Courier New"/>
          <w:bCs/>
          <w:sz w:val="32"/>
          <w:szCs w:val="21"/>
        </w:rPr>
      </w:pPr>
      <w:r>
        <w:rPr>
          <w:rFonts w:hint="default" w:ascii="Times New Roman" w:hAnsi="Times New Roman" w:eastAsia="仿宋_GB2312" w:cs="Courier New"/>
          <w:bCs/>
          <w:sz w:val="32"/>
          <w:szCs w:val="21"/>
        </w:rPr>
        <w:t>〔202</w:t>
      </w:r>
      <w:r>
        <w:rPr>
          <w:rFonts w:hint="eastAsia" w:ascii="Times New Roman" w:hAnsi="Times New Roman" w:eastAsia="仿宋_GB2312" w:cs="Courier New"/>
          <w:bCs/>
          <w:sz w:val="32"/>
          <w:szCs w:val="21"/>
          <w:lang w:val="en-US" w:eastAsia="zh-CN"/>
        </w:rPr>
        <w:t>5</w:t>
      </w:r>
      <w:r>
        <w:rPr>
          <w:rFonts w:hint="default" w:ascii="Times New Roman" w:hAnsi="Times New Roman" w:eastAsia="仿宋_GB2312" w:cs="Courier New"/>
          <w:bCs/>
          <w:sz w:val="32"/>
          <w:szCs w:val="21"/>
        </w:rPr>
        <w:t>〕赣行复第</w:t>
      </w:r>
      <w:r>
        <w:rPr>
          <w:rFonts w:hint="eastAsia" w:ascii="Times New Roman" w:hAnsi="Times New Roman" w:eastAsia="仿宋_GB2312" w:cs="Courier New"/>
          <w:bCs/>
          <w:sz w:val="32"/>
          <w:szCs w:val="21"/>
          <w:lang w:val="en-US" w:eastAsia="zh-CN"/>
        </w:rPr>
        <w:t>213</w:t>
      </w:r>
      <w:r>
        <w:rPr>
          <w:rFonts w:hint="default" w:ascii="Times New Roman" w:hAnsi="Times New Roman" w:eastAsia="仿宋_GB2312" w:cs="Courier New"/>
          <w:bCs/>
          <w:sz w:val="32"/>
          <w:szCs w:val="21"/>
        </w:rPr>
        <w:t>号</w:t>
      </w:r>
    </w:p>
    <w:p w14:paraId="6E25FDF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Courier New"/>
          <w:bCs/>
          <w:sz w:val="32"/>
          <w:szCs w:val="21"/>
        </w:rPr>
      </w:pPr>
    </w:p>
    <w:p w14:paraId="3226756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Courier New"/>
          <w:bCs/>
          <w:sz w:val="32"/>
          <w:szCs w:val="21"/>
        </w:rPr>
        <w:t>申请人：</w:t>
      </w:r>
      <w:r>
        <w:rPr>
          <w:rFonts w:hint="eastAsia" w:ascii="Times New Roman" w:hAnsi="Times New Roman" w:eastAsia="仿宋_GB2312" w:cs="Courier New"/>
          <w:bCs/>
          <w:sz w:val="32"/>
          <w:szCs w:val="21"/>
          <w:lang w:val="en-US" w:eastAsia="zh-CN"/>
        </w:rPr>
        <w:t>周某</w:t>
      </w:r>
      <w:r>
        <w:rPr>
          <w:rFonts w:hint="eastAsia" w:ascii="Times New Roman" w:hAnsi="Times New Roman" w:eastAsia="仿宋_GB2312" w:cs="Times New Roman"/>
          <w:sz w:val="32"/>
          <w:lang w:val="en-US" w:eastAsia="zh-CN"/>
        </w:rPr>
        <w:t>。</w:t>
      </w:r>
    </w:p>
    <w:p w14:paraId="5402FA5E">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被申请人：连云港市赣榆区市场监督管理局员。</w:t>
      </w:r>
    </w:p>
    <w:p w14:paraId="67D0201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申请人周某不服被申请人连云港市赣榆区市场监督管理局对举报连云港某食品有限公司（以下</w:t>
      </w:r>
      <w:bookmarkStart w:id="1" w:name="_GoBack"/>
      <w:bookmarkEnd w:id="1"/>
      <w:r>
        <w:rPr>
          <w:rFonts w:hint="eastAsia" w:ascii="Times New Roman" w:hAnsi="Times New Roman" w:eastAsia="仿宋_GB2312" w:cs="Times New Roman"/>
          <w:sz w:val="32"/>
          <w:lang w:val="en-US" w:eastAsia="zh-CN"/>
        </w:rPr>
        <w:t>称被举报人）的处理，</w:t>
      </w:r>
      <w:r>
        <w:rPr>
          <w:rFonts w:hint="default" w:ascii="Times New Roman" w:hAnsi="Times New Roman" w:eastAsia="仿宋_GB2312" w:cs="Times New Roman"/>
          <w:sz w:val="32"/>
          <w:lang w:val="en-US" w:eastAsia="zh-CN"/>
        </w:rPr>
        <w:t>于202</w:t>
      </w: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lang w:val="en-US" w:eastAsia="zh-CN"/>
        </w:rPr>
        <w:t>年</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4</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向本机关申请</w:t>
      </w:r>
      <w:r>
        <w:rPr>
          <w:rFonts w:hint="default" w:ascii="Times New Roman" w:hAnsi="Times New Roman" w:eastAsia="仿宋_GB2312" w:cs="Times New Roman"/>
          <w:sz w:val="32"/>
          <w:lang w:val="en-US" w:eastAsia="zh-CN"/>
        </w:rPr>
        <w:t>行政复议，本机关</w:t>
      </w:r>
      <w:r>
        <w:rPr>
          <w:rFonts w:hint="eastAsia" w:ascii="Times New Roman" w:hAnsi="Times New Roman" w:eastAsia="仿宋_GB2312" w:cs="Times New Roman"/>
          <w:sz w:val="32"/>
          <w:lang w:val="en-US" w:eastAsia="zh-CN"/>
        </w:rPr>
        <w:t>于8月8</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依法已予</w:t>
      </w:r>
      <w:r>
        <w:rPr>
          <w:rFonts w:hint="default" w:ascii="Times New Roman" w:hAnsi="Times New Roman" w:eastAsia="仿宋_GB2312" w:cs="Times New Roman"/>
          <w:sz w:val="32"/>
          <w:lang w:val="en-US" w:eastAsia="zh-CN"/>
        </w:rPr>
        <w:t>受理，</w:t>
      </w:r>
      <w:r>
        <w:rPr>
          <w:rFonts w:hint="eastAsia" w:ascii="Times New Roman" w:hAnsi="Times New Roman" w:eastAsia="仿宋_GB2312" w:cs="Times New Roman"/>
          <w:sz w:val="32"/>
          <w:lang w:val="en-US" w:eastAsia="zh-CN"/>
        </w:rPr>
        <w:t>并适用普通程序审理。</w:t>
      </w:r>
      <w:r>
        <w:rPr>
          <w:rFonts w:hint="default" w:ascii="Times New Roman" w:hAnsi="Times New Roman" w:eastAsia="仿宋_GB2312" w:cs="Times New Roman"/>
          <w:sz w:val="32"/>
          <w:lang w:val="en-US" w:eastAsia="zh-CN"/>
        </w:rPr>
        <w:t>被申请人在规定期限内向本机关提交了书面答复材料</w:t>
      </w:r>
      <w:r>
        <w:rPr>
          <w:rFonts w:hint="eastAsia" w:ascii="Times New Roman" w:hAnsi="Times New Roman" w:eastAsia="仿宋_GB2312" w:cs="Times New Roman"/>
          <w:sz w:val="32"/>
          <w:lang w:val="en-US" w:eastAsia="zh-CN"/>
        </w:rPr>
        <w:t>及证据材料</w:t>
      </w:r>
      <w:r>
        <w:rPr>
          <w:rFonts w:hint="default" w:ascii="Times New Roman" w:hAnsi="Times New Roman" w:eastAsia="仿宋_GB2312" w:cs="Times New Roman"/>
          <w:sz w:val="32"/>
          <w:lang w:val="en-US" w:eastAsia="zh-CN"/>
        </w:rPr>
        <w:t>。本案现已审理终结。</w:t>
      </w:r>
    </w:p>
    <w:p w14:paraId="50DC99D5">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申请人请求：</w:t>
      </w:r>
      <w:r>
        <w:rPr>
          <w:rFonts w:hint="eastAsia" w:ascii="Times New Roman" w:hAnsi="Times New Roman" w:eastAsia="仿宋_GB2312" w:cs="Times New Roman"/>
          <w:sz w:val="32"/>
          <w:lang w:val="en-US" w:eastAsia="zh-CN"/>
        </w:rPr>
        <w:t>撤销被申请人做出的不予立案决定，责令被申请人重新处理。</w:t>
      </w:r>
    </w:p>
    <w:p w14:paraId="63A38864">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仿宋_GB2312" w:cs="Times New Roman"/>
          <w:bCs/>
          <w:sz w:val="32"/>
          <w:szCs w:val="21"/>
          <w:lang w:val="en-US" w:eastAsia="zh-CN"/>
        </w:rPr>
      </w:pPr>
      <w:r>
        <w:rPr>
          <w:rFonts w:hint="eastAsia" w:ascii="Times New Roman" w:hAnsi="Times New Roman" w:eastAsia="仿宋_GB2312" w:cs="Times New Roman"/>
          <w:b/>
          <w:bCs/>
          <w:sz w:val="32"/>
          <w:lang w:val="en-US" w:eastAsia="zh-CN"/>
        </w:rPr>
        <w:t>申请人称：</w:t>
      </w:r>
      <w:r>
        <w:rPr>
          <w:rFonts w:hint="eastAsia" w:ascii="Times New Roman" w:hAnsi="Times New Roman" w:eastAsia="仿宋_GB2312" w:cs="Times New Roman"/>
          <w:sz w:val="32"/>
          <w:lang w:val="en-US" w:eastAsia="zh-CN"/>
        </w:rPr>
        <w:t>申请人于2025年4月6日通过全国12315平台向被申请人举报被举报人生产的“爆浆芝士麻薯菠萝包”违反《中华人民共和国食品安全法》，被申请人于5月19日作出不予立案决定，理由：违法行为轻微，已责令改正，未造成危害后果。</w:t>
      </w:r>
    </w:p>
    <w:p w14:paraId="6E5015FF">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违法事实成立。申请人购买的菠萝包配料表中的吉士粉和泡打粉，吉士粉属于复配着色增稠剂，泡打粉属于复配膨松剂，两款配料均未标注出其含有的添加剂，根据《</w:t>
      </w:r>
      <w:r>
        <w:rPr>
          <w:rFonts w:hint="eastAsia" w:ascii="Times New Roman" w:hAnsi="Times New Roman" w:eastAsia="仿宋_GB2312" w:cs="Times New Roman"/>
          <w:b w:val="0"/>
          <w:bCs/>
          <w:sz w:val="32"/>
          <w:szCs w:val="21"/>
          <w:lang w:val="en-US" w:eastAsia="zh-CN"/>
        </w:rPr>
        <w:t xml:space="preserve">食品安全国家标准 </w:t>
      </w:r>
      <w:r>
        <w:rPr>
          <w:rFonts w:hint="eastAsia" w:ascii="Times New Roman" w:hAnsi="Times New Roman" w:eastAsia="仿宋_GB2312" w:cs="Times New Roman"/>
          <w:sz w:val="32"/>
          <w:lang w:val="en-US" w:eastAsia="zh-CN"/>
        </w:rPr>
        <w:t>预包装食品标签通则》（GB 7718-2011）问答（</w:t>
      </w:r>
      <w:r>
        <w:rPr>
          <w:rFonts w:hint="eastAsia" w:ascii="Times New Roman" w:hAnsi="Times New Roman" w:eastAsia="仿宋_GB2312" w:cs="Times New Roman"/>
          <w:b w:val="0"/>
          <w:bCs/>
          <w:sz w:val="32"/>
          <w:szCs w:val="21"/>
          <w:lang w:val="en-US" w:eastAsia="zh-CN"/>
        </w:rPr>
        <w:t>修订版）</w:t>
      </w:r>
      <w:r>
        <w:rPr>
          <w:rFonts w:hint="eastAsia" w:ascii="Times New Roman" w:hAnsi="Times New Roman" w:eastAsia="仿宋_GB2312" w:cs="Times New Roman"/>
          <w:sz w:val="32"/>
          <w:lang w:val="en-US" w:eastAsia="zh-CN"/>
        </w:rPr>
        <w:t>第三十二条关于复配食品添加剂的标识规定“应当在食品配料表中一一标注具有功能作用的每种食品添加剂”，侵犯了消费者的知情权，同时违反了《中华人民共和国食品安全法》第六十七条第九款应当强制标注的信息未标注。二、被申请人事实认定不清。被申请人依据《中华人民共和国行政处罚法》第三十三条和《市场监督管理行政处罚程序规定》第二十条不予立案明显事实认定不清。申请人作为购买人，在超市购物，被举报人作为生产方，应当提供合法合规的食品，而产品违反法律规定，侵害到被申请人的合法权益，申请人作为权利受侵害对象，被举报人并未取得申请人的谅解，也并未给被申请人退款，其危害后果并未完全消除，存在实际损害，且被举报人的改正行为是在投诉举报之后的被动整改，并不满足“违法轻微及时改正”的法定条件。被申请人理解的违法轻微、危害后果是未产生生命健康安全，将申请人花费的金额置之度外，不符合《中华人民共和国消费者权益保护法》第七条规定的财产权保护规则。三、被申请人未充分审查证据。被申请人应当依据《市场监督管理行政处罚程序规定》第二十一条规定开展调查，申请人对被申请人的现场核查事实存疑，要求被申请人提供完整的现场检查记录、照片、视频、被举报人的相关询问笔录内容等材料。四、申请人存在申请行政复议的利害关系。申请人认为自身权益受到侵害，有权寻求行政复议救济，符合《行政复议法》的立法目的和适用范围。申请人与被举报人产生了消费关系，当被申请人对被举报人的监管行为影响到本人消费权益的实现时，申请人就与该行政行为就存在利害关系。且依据上述法规第二十条“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因此申请人申请复议仍在法定期限内。</w:t>
      </w:r>
    </w:p>
    <w:p w14:paraId="6811E12A">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综上所述，申请人作为该案件的举报人也是举报奖励的领取者同时还是被举报人的侵害对象，被申请人作出的不予立案，事实认定不清、证据审查不充分，侵害申请人合法权益。</w:t>
      </w:r>
    </w:p>
    <w:p w14:paraId="03E5876D">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申请人提交的证据：</w:t>
      </w:r>
      <w:r>
        <w:rPr>
          <w:rFonts w:hint="eastAsia" w:ascii="Times New Roman" w:hAnsi="Times New Roman" w:eastAsia="仿宋_GB2312" w:cs="Times New Roman"/>
          <w:sz w:val="32"/>
          <w:lang w:val="en-US" w:eastAsia="zh-CN"/>
        </w:rPr>
        <w:t>居民身份证复印件、微信支付交易明细证明、购物小票、产品图片、12315投诉详情截图2张。</w:t>
      </w:r>
    </w:p>
    <w:p w14:paraId="02FA79D2">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b/>
          <w:bCs/>
          <w:sz w:val="32"/>
          <w:lang w:val="en-US" w:eastAsia="zh-CN"/>
        </w:rPr>
        <w:t>被申请人称：</w:t>
      </w:r>
      <w:r>
        <w:rPr>
          <w:rFonts w:hint="eastAsia" w:ascii="Times New Roman" w:hAnsi="Times New Roman" w:eastAsia="仿宋_GB2312" w:cs="Times New Roman"/>
          <w:sz w:val="32"/>
          <w:lang w:val="en-US" w:eastAsia="zh-CN"/>
        </w:rPr>
        <w:t>一、被申请人已依法履职，处理程序合法。被申请人于2025年4月6日收到申请人通过全国12315平台登记的投诉工单，申请人反映其购买的被举报人生产的“爆浆芝士麻薯菠萝包”配料表添加了吉士粉和泡打粉，吉士粉属于复配着色增稠剂，泡打粉属于复配膨松剂，该产品未标注出配料中含有添加剂，根据《预包装食品标签通则》</w:t>
      </w:r>
      <w:r>
        <w:rPr>
          <w:rFonts w:hint="default" w:ascii="Times New Roman" w:hAnsi="Times New Roman" w:eastAsia="仿宋_GB2312" w:cs="Times New Roman"/>
          <w:sz w:val="32"/>
          <w:lang w:val="en-US" w:eastAsia="zh-CN"/>
        </w:rPr>
        <w:t>（GB</w:t>
      </w:r>
      <w:r>
        <w:rPr>
          <w:rFonts w:hint="eastAsia"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lang w:val="en-US" w:eastAsia="zh-CN"/>
        </w:rPr>
        <w:t>7718-2011）</w:t>
      </w:r>
      <w:r>
        <w:rPr>
          <w:rFonts w:hint="eastAsia" w:ascii="Times New Roman" w:hAnsi="Times New Roman" w:eastAsia="仿宋_GB2312" w:cs="Times New Roman"/>
          <w:sz w:val="32"/>
          <w:lang w:val="en-US" w:eastAsia="zh-CN"/>
        </w:rPr>
        <w:t>问答（</w:t>
      </w:r>
      <w:r>
        <w:rPr>
          <w:rFonts w:hint="eastAsia" w:ascii="Times New Roman" w:hAnsi="Times New Roman" w:eastAsia="仿宋_GB2312" w:cs="Times New Roman"/>
          <w:b w:val="0"/>
          <w:bCs/>
          <w:sz w:val="32"/>
          <w:szCs w:val="21"/>
          <w:lang w:val="en-US" w:eastAsia="zh-CN"/>
        </w:rPr>
        <w:t>修订版）</w:t>
      </w:r>
      <w:r>
        <w:rPr>
          <w:rFonts w:hint="eastAsia" w:ascii="Times New Roman" w:hAnsi="Times New Roman" w:eastAsia="仿宋_GB2312" w:cs="Times New Roman"/>
          <w:sz w:val="32"/>
          <w:lang w:val="en-US" w:eastAsia="zh-CN"/>
        </w:rPr>
        <w:t>第三十二条关于复配食品添加剂的标识规定“应当在食品配料表中一一标注具体有功能作用的每种食品添加剂”，侵犯了消费者知情权，同时违反了《中华人民共和国食品安全法》第六十七条第九款应当强制标注的信息未标注。依据《市场监督管理行政处罚程序规定》第十八条第一款“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的规定，被申请人于4月25日决定延长核查期限十五个工作日。5月19日进行调查取证，并于同日作出不予立案决定。依据《市场监督管理投诉举报处理暂行办法》第三十一条第一款“市场监督管理部门应当按照市场监督管理行政处罚等有关规定处理举报。举报人实名举报的，有处理权限的市场监督管理部门还应当自作出是否立案决定之日起五个工作日内告知举报人”的规定，被申请人于5月19日通过全国12315平台告知被申请人。</w:t>
      </w:r>
    </w:p>
    <w:p w14:paraId="517094E5">
      <w:pPr>
        <w:keepNext w:val="0"/>
        <w:keepLines w:val="0"/>
        <w:pageBreakBefore w:val="0"/>
        <w:widowControl w:val="0"/>
        <w:numPr>
          <w:ilvl w:val="0"/>
          <w:numId w:val="1"/>
        </w:numPr>
        <w:kinsoku/>
        <w:wordWrap/>
        <w:overflowPunct/>
        <w:topLinePunct w:val="0"/>
        <w:autoSpaceDE/>
        <w:autoSpaceDN/>
        <w:bidi w:val="0"/>
        <w:spacing w:line="540" w:lineRule="exact"/>
        <w:ind w:left="0" w:leftChars="0"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被申请人认定事实清楚，适用法律正确。根据《预包装食品标签通则》（GB7718-2011）问答（</w:t>
      </w:r>
      <w:r>
        <w:rPr>
          <w:rFonts w:hint="eastAsia" w:ascii="Times New Roman" w:hAnsi="Times New Roman" w:eastAsia="仿宋_GB2312" w:cs="Times New Roman"/>
          <w:b w:val="0"/>
          <w:bCs/>
          <w:sz w:val="32"/>
          <w:szCs w:val="21"/>
          <w:lang w:val="en-US" w:eastAsia="zh-CN"/>
        </w:rPr>
        <w:t>修订版）</w:t>
      </w:r>
      <w:r>
        <w:rPr>
          <w:rFonts w:hint="eastAsia" w:ascii="Times New Roman" w:hAnsi="Times New Roman" w:eastAsia="仿宋_GB2312" w:cs="Times New Roman"/>
          <w:sz w:val="32"/>
          <w:lang w:val="en-US" w:eastAsia="zh-CN"/>
        </w:rPr>
        <w:t>第三十二条以及《中华人民共和国食品安全法》第六十七条第一款第七项的规定，本案中，案涉食品标签中标示的“泡打粉”属于复配膨松剂，“吉士粉”实为食品用香精，标示方式不符合上述标准规定。鉴于复配膨松剂又称为泡打粉，且泡打粉通俗易懂，“吉士粉”作为常用的食品用香精，该标示并不影响食品安全，且不会对消费者造成误导，属于《中华人民共和国食品安全法》第一百二十五条第二款、《食品生产经营监督检查管理办法》第三十七条第三项规定的“瑕疵”。被举报人违法行为轻微，且已积极改正，申请人也未提供证据表明造成危害后果，根据《中华人民共和国行政处罚法》第三十三条第一款以及《市场监督管理行政处罚程序规定》第二十条第一款第一项的规定，被申请人决定不予立案。</w:t>
      </w:r>
    </w:p>
    <w:p w14:paraId="5EBF8D1C">
      <w:pPr>
        <w:keepNext w:val="0"/>
        <w:keepLines w:val="0"/>
        <w:pageBreakBefore w:val="0"/>
        <w:widowControl w:val="0"/>
        <w:numPr>
          <w:ilvl w:val="0"/>
          <w:numId w:val="1"/>
        </w:numPr>
        <w:kinsoku/>
        <w:wordWrap/>
        <w:overflowPunct/>
        <w:topLinePunct w:val="0"/>
        <w:autoSpaceDE/>
        <w:autoSpaceDN/>
        <w:bidi w:val="0"/>
        <w:spacing w:line="540" w:lineRule="exact"/>
        <w:ind w:left="0" w:leftChars="0"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不具有行政复议申请人资格。申请人通过全国12315平台查询，申请人累计投诉645次、举报155次，申请人的上述行为明显与正常消费者和一般投诉举报人不符，显然超出了正常消费者和一般投诉人的范畴，属职业投诉举报人。被申请人收到申请人的举报后，依法进行了处理，履行了对投诉举报进行调查处理并答复的法定职责。申请人作为投诉举报人向市场监管部门反映企业存在违法行为，本质上系为市场监管部门履行监管职责提供线索，市场监管部门对符合条件的投诉举报有依法接受并作出相应答复的义务，但是否启动对投诉举报企业的查处以及如何查处，则应由市场监管部门依职权进行判断，其执法目的在于维护作为公共利益的市场秩序，执法行为的结果也主要是对涉事企业及市场秩序产生影响，对申请人个人的权利义务则不会产生实质影响。被申请人对申请人的举报事项不予立案，并告知申请人。该告知系被申请人为维护作为公共利益的市场秩序，履行答复投诉举报的职责，该程序性的告知行为未对作为举报人的申请人的合法权益产生实际影响，在此情况下，申请人对被申请人不予立案的答复提起行政复议申请，明显缺乏利益基础，申请人的复议申请不符合《中华人民共和国行政复议法》第三十条第一款第二项：“行政复议机关收到行政复议申请后，应当在五日内进行审查。对符合下列规定的，行政复议机关应当予以受理：……（二）申请人与被申请行政复议的行政行为有利害关系；……”的规定，该行政复议申请不应当受理。申请人滥用诉权，浪费司法资源，请复议机关依法驳回申请人的复议请求，以维护行政机关正常工作秩序及正常的法律秩序。</w:t>
      </w:r>
    </w:p>
    <w:p w14:paraId="140DAB79">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综上所述，被申请人已依法履行职责，适用法律正确，并在规定的期限内将举报处理情况告知申请人，申请人提出行政复议的事实与理由不成立，请依法驳回。</w:t>
      </w:r>
    </w:p>
    <w:p w14:paraId="709D692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b/>
          <w:bCs w:val="0"/>
          <w:color w:val="auto"/>
          <w:sz w:val="32"/>
          <w:szCs w:val="21"/>
        </w:rPr>
        <w:t>被申请人提交证据：</w:t>
      </w:r>
      <w:r>
        <w:rPr>
          <w:rFonts w:hint="eastAsia" w:ascii="Times New Roman" w:hAnsi="Times New Roman" w:eastAsia="仿宋_GB2312" w:cs="Times New Roman"/>
          <w:b w:val="0"/>
          <w:bCs/>
          <w:color w:val="000000" w:themeColor="text1"/>
          <w:sz w:val="32"/>
          <w:szCs w:val="21"/>
          <w:lang w:val="en-US" w:eastAsia="zh-CN"/>
          <w14:textFill>
            <w14:solidFill>
              <w14:schemeClr w14:val="tx1"/>
            </w14:solidFill>
          </w14:textFill>
        </w:rPr>
        <w:t>投诉登记表及附件材料、</w:t>
      </w:r>
      <w:r>
        <w:rPr>
          <w:rFonts w:hint="eastAsia" w:ascii="Times New Roman" w:hAnsi="Times New Roman" w:eastAsia="仿宋_GB2312" w:cs="Times New Roman"/>
          <w:b w:val="0"/>
          <w:bCs/>
          <w:sz w:val="32"/>
          <w:szCs w:val="21"/>
          <w:lang w:val="en-US" w:eastAsia="zh-CN"/>
        </w:rPr>
        <w:t>案件来源登记表</w:t>
      </w:r>
      <w:r>
        <w:rPr>
          <w:rFonts w:hint="eastAsia" w:ascii="Times New Roman" w:hAnsi="Times New Roman" w:eastAsia="仿宋_GB2312" w:cs="Times New Roman"/>
          <w:b/>
          <w:bCs w:val="0"/>
          <w:color w:val="auto"/>
          <w:sz w:val="32"/>
          <w:szCs w:val="21"/>
          <w:lang w:val="en-US" w:eastAsia="zh-CN"/>
        </w:rPr>
        <w:t>、</w:t>
      </w:r>
      <w:r>
        <w:rPr>
          <w:rFonts w:hint="eastAsia" w:ascii="Times New Roman" w:hAnsi="Times New Roman" w:eastAsia="仿宋_GB2312" w:cs="Times New Roman"/>
          <w:b w:val="0"/>
          <w:bCs/>
          <w:sz w:val="32"/>
          <w:szCs w:val="21"/>
          <w:lang w:val="en-US" w:eastAsia="zh-CN"/>
        </w:rPr>
        <w:t>案件延期审批表、询问笔录、被举报人营业执照、食品生产许可证、食品生产许可品种明细表、法定代表人身份证复印件、食用粉末香精（吉士粉）照片、复配膨松剂（泡打粉）照片、整改后标签照片、检验报告、出厂检验报告、投诉说明、不予立案审批表、举报不予立案告知书、投诉受理决定书、投诉终止调解决定书、全国12315平台截图4张。</w:t>
      </w:r>
    </w:p>
    <w:p w14:paraId="01AD4581">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b w:val="0"/>
          <w:bCs/>
          <w:sz w:val="32"/>
          <w:szCs w:val="21"/>
          <w:lang w:val="en-US" w:eastAsia="zh-CN"/>
        </w:rPr>
        <w:t>被申请人于2025年4月6日收到申请人通过全国12315平台登记的投诉举报，申请人称被举报人生产</w:t>
      </w:r>
      <w:r>
        <w:rPr>
          <w:rFonts w:hint="default" w:ascii="Times New Roman" w:hAnsi="Times New Roman" w:eastAsia="仿宋_GB2312" w:cs="Times New Roman"/>
          <w:b w:val="0"/>
          <w:bCs/>
          <w:sz w:val="32"/>
          <w:szCs w:val="21"/>
          <w:lang w:val="en-US" w:eastAsia="zh-CN"/>
        </w:rPr>
        <w:t>的</w:t>
      </w:r>
      <w:r>
        <w:rPr>
          <w:rFonts w:hint="eastAsia" w:ascii="Times New Roman" w:hAnsi="Times New Roman" w:eastAsia="仿宋_GB2312" w:cs="Times New Roman"/>
          <w:b w:val="0"/>
          <w:bCs/>
          <w:sz w:val="32"/>
          <w:szCs w:val="21"/>
          <w:lang w:val="en-US" w:eastAsia="zh-CN"/>
        </w:rPr>
        <w:t>“爆浆芝士麻薯菠萝包”</w:t>
      </w:r>
      <w:r>
        <w:rPr>
          <w:rFonts w:hint="default" w:ascii="Times New Roman" w:hAnsi="Times New Roman" w:eastAsia="仿宋_GB2312" w:cs="Times New Roman"/>
          <w:b w:val="0"/>
          <w:bCs/>
          <w:sz w:val="32"/>
          <w:szCs w:val="21"/>
          <w:lang w:val="en-US" w:eastAsia="zh-CN"/>
        </w:rPr>
        <w:t>配料表中</w:t>
      </w:r>
      <w:r>
        <w:rPr>
          <w:rFonts w:hint="eastAsia" w:ascii="Times New Roman" w:hAnsi="Times New Roman" w:eastAsia="仿宋_GB2312" w:cs="Times New Roman"/>
          <w:b w:val="0"/>
          <w:bCs/>
          <w:sz w:val="32"/>
          <w:szCs w:val="21"/>
          <w:lang w:val="en-US" w:eastAsia="zh-CN"/>
        </w:rPr>
        <w:t>添加了吉士粉和泡打粉，分别属于复配着色增稠剂和复配膨松剂，但未标注出配料中含有添加剂，</w:t>
      </w:r>
      <w:r>
        <w:rPr>
          <w:rFonts w:hint="default" w:ascii="Times New Roman" w:hAnsi="Times New Roman" w:eastAsia="仿宋_GB2312" w:cs="Times New Roman"/>
          <w:b w:val="0"/>
          <w:bCs/>
          <w:sz w:val="32"/>
          <w:szCs w:val="21"/>
          <w:lang w:val="en-US" w:eastAsia="zh-CN"/>
        </w:rPr>
        <w:t>不符合《</w:t>
      </w:r>
      <w:r>
        <w:rPr>
          <w:rFonts w:hint="eastAsia" w:ascii="Times New Roman" w:hAnsi="Times New Roman" w:eastAsia="仿宋_GB2312" w:cs="Times New Roman"/>
          <w:b w:val="0"/>
          <w:bCs/>
          <w:sz w:val="32"/>
          <w:szCs w:val="21"/>
          <w:lang w:val="en-US" w:eastAsia="zh-CN"/>
        </w:rPr>
        <w:t xml:space="preserve">食品安全国家标准 </w:t>
      </w:r>
      <w:r>
        <w:rPr>
          <w:rFonts w:hint="default" w:ascii="Times New Roman" w:hAnsi="Times New Roman" w:eastAsia="仿宋_GB2312" w:cs="Times New Roman"/>
          <w:b w:val="0"/>
          <w:bCs/>
          <w:sz w:val="32"/>
          <w:szCs w:val="21"/>
          <w:lang w:val="en-US" w:eastAsia="zh-CN"/>
        </w:rPr>
        <w:t>预包装食品标签通则》</w:t>
      </w:r>
      <w:r>
        <w:rPr>
          <w:rFonts w:hint="eastAsia" w:ascii="Times New Roman" w:hAnsi="Times New Roman" w:eastAsia="仿宋_GB2312" w:cs="Times New Roman"/>
          <w:b w:val="0"/>
          <w:bCs/>
          <w:sz w:val="32"/>
          <w:szCs w:val="21"/>
          <w:lang w:val="en-US" w:eastAsia="zh-CN"/>
        </w:rPr>
        <w:t>（GB 7718-2011）</w:t>
      </w:r>
      <w:r>
        <w:rPr>
          <w:rFonts w:hint="default" w:ascii="Times New Roman" w:hAnsi="Times New Roman" w:eastAsia="仿宋_GB2312" w:cs="Times New Roman"/>
          <w:b w:val="0"/>
          <w:bCs/>
          <w:sz w:val="32"/>
          <w:szCs w:val="21"/>
          <w:lang w:val="en-US" w:eastAsia="zh-CN"/>
        </w:rPr>
        <w:t>的相关规定，违反了《</w:t>
      </w:r>
      <w:r>
        <w:rPr>
          <w:rFonts w:hint="eastAsia" w:ascii="Times New Roman" w:hAnsi="Times New Roman" w:eastAsia="仿宋_GB2312" w:cs="Times New Roman"/>
          <w:b w:val="0"/>
          <w:bCs/>
          <w:sz w:val="32"/>
          <w:szCs w:val="21"/>
          <w:lang w:val="en-US" w:eastAsia="zh-CN"/>
        </w:rPr>
        <w:t>中华人民共和国</w:t>
      </w:r>
      <w:r>
        <w:rPr>
          <w:rFonts w:hint="default" w:ascii="Times New Roman" w:hAnsi="Times New Roman" w:eastAsia="仿宋_GB2312" w:cs="Times New Roman"/>
          <w:b w:val="0"/>
          <w:bCs/>
          <w:sz w:val="32"/>
          <w:szCs w:val="21"/>
          <w:lang w:val="en-US" w:eastAsia="zh-CN"/>
        </w:rPr>
        <w:t>食品安全法》第六十七条的规定，要求</w:t>
      </w:r>
      <w:r>
        <w:rPr>
          <w:rFonts w:hint="eastAsia" w:ascii="Times New Roman" w:hAnsi="Times New Roman" w:eastAsia="仿宋_GB2312" w:cs="Times New Roman"/>
          <w:b w:val="0"/>
          <w:bCs/>
          <w:sz w:val="32"/>
          <w:szCs w:val="21"/>
          <w:lang w:val="en-US" w:eastAsia="zh-CN"/>
        </w:rPr>
        <w:t>调解、退赔、查处并奖励。4月25日被申请人决定延长核查期限十五个工作日。</w:t>
      </w:r>
      <w:r>
        <w:rPr>
          <w:rFonts w:hint="eastAsia" w:ascii="Times New Roman" w:hAnsi="Times New Roman" w:eastAsia="仿宋_GB2312" w:cs="Times New Roman"/>
          <w:sz w:val="32"/>
          <w:lang w:val="en-US" w:eastAsia="zh-CN"/>
        </w:rPr>
        <w:t>5月19日，被申请人对被举报人进行调查询问，被举报人提供了作为案涉产品生产原料的</w:t>
      </w:r>
      <w:r>
        <w:rPr>
          <w:rFonts w:hint="eastAsia" w:ascii="Times New Roman" w:hAnsi="Times New Roman" w:eastAsia="仿宋_GB2312" w:cs="Times New Roman"/>
          <w:b w:val="0"/>
          <w:bCs/>
          <w:sz w:val="32"/>
          <w:szCs w:val="21"/>
          <w:lang w:val="en-US" w:eastAsia="zh-CN"/>
        </w:rPr>
        <w:t>食用粉末香精（吉士粉）及复配膨松剂（泡打粉）</w:t>
      </w:r>
      <w:r>
        <w:rPr>
          <w:rFonts w:hint="eastAsia" w:ascii="Times New Roman" w:hAnsi="Times New Roman" w:eastAsia="仿宋_GB2312" w:cs="Times New Roman"/>
          <w:sz w:val="32"/>
          <w:lang w:val="en-US" w:eastAsia="zh-CN"/>
        </w:rPr>
        <w:t>、案涉产品合格</w:t>
      </w:r>
      <w:r>
        <w:rPr>
          <w:rFonts w:hint="eastAsia" w:ascii="Times New Roman" w:hAnsi="Times New Roman" w:eastAsia="仿宋_GB2312" w:cs="Times New Roman"/>
          <w:b w:val="0"/>
          <w:bCs/>
          <w:sz w:val="32"/>
          <w:szCs w:val="21"/>
          <w:lang w:val="en-US" w:eastAsia="zh-CN"/>
        </w:rPr>
        <w:t>的检验报告、整改后的产品标签，被举报人承认案涉产品是其生产的，且已经将原标签的“吉士粉”“泡打粉”整改为“食品用香精”“复配膨松剂（碳酸氢钠、焦磷酸二氢二钠、磷酸二氢钙、碳酸钙）”。</w:t>
      </w:r>
      <w:r>
        <w:rPr>
          <w:rFonts w:hint="eastAsia" w:ascii="Times New Roman" w:hAnsi="Times New Roman" w:eastAsia="仿宋_GB2312" w:cs="Times New Roman"/>
          <w:b w:val="0"/>
          <w:bCs/>
          <w:sz w:val="32"/>
          <w:szCs w:val="21"/>
          <w:highlight w:val="none"/>
          <w:lang w:val="en-US" w:eastAsia="zh-CN"/>
        </w:rPr>
        <w:t>被申请人经核查认定，案涉产品添加的“泡打粉”属于复配膨松剂，应按照</w:t>
      </w:r>
      <w:r>
        <w:rPr>
          <w:rFonts w:hint="eastAsia" w:ascii="Times New Roman" w:hAnsi="Times New Roman" w:eastAsia="仿宋_GB2312" w:cs="Times New Roman"/>
          <w:b w:val="0"/>
          <w:bCs/>
          <w:sz w:val="32"/>
          <w:szCs w:val="21"/>
          <w:lang w:val="en-US" w:eastAsia="zh-CN"/>
        </w:rPr>
        <w:t>《预包装食品标签通则》（GB 7718-2011）问答（修订版）第三十二条“应当在食品配料表中一一标示在终产品中具有功能作用的每种食品添加剂”的规定进行标注；“吉士粉”为食品用香精，应按照《预包装食品标签通则》（GB 7718-2011）问答（修订版）第四十三条“使用食用香精、食用香料的食品，可以在配料表中标示该香精香料的通用名称，也可标示为‘</w:t>
      </w:r>
      <w:r>
        <w:rPr>
          <w:rFonts w:hint="default" w:ascii="Times New Roman" w:hAnsi="Times New Roman" w:eastAsia="仿宋_GB2312" w:cs="Times New Roman"/>
          <w:b w:val="0"/>
          <w:bCs/>
          <w:sz w:val="32"/>
          <w:szCs w:val="21"/>
          <w:lang w:val="en-US" w:eastAsia="zh-CN"/>
        </w:rPr>
        <w:t>食用香精</w:t>
      </w:r>
      <w:r>
        <w:rPr>
          <w:rFonts w:hint="eastAsia" w:ascii="Times New Roman" w:hAnsi="Times New Roman" w:eastAsia="仿宋_GB2312" w:cs="Times New Roman"/>
          <w:b w:val="0"/>
          <w:bCs/>
          <w:sz w:val="32"/>
          <w:szCs w:val="21"/>
          <w:lang w:val="en-US" w:eastAsia="zh-CN"/>
        </w:rPr>
        <w:t>’</w:t>
      </w:r>
      <w:r>
        <w:rPr>
          <w:rFonts w:hint="default" w:ascii="Times New Roman" w:hAnsi="Times New Roman" w:eastAsia="仿宋_GB2312" w:cs="Times New Roman"/>
          <w:b w:val="0"/>
          <w:bCs/>
          <w:sz w:val="32"/>
          <w:szCs w:val="21"/>
          <w:lang w:val="en-US" w:eastAsia="zh-CN"/>
        </w:rPr>
        <w:t>，或者</w:t>
      </w:r>
      <w:r>
        <w:rPr>
          <w:rFonts w:hint="eastAsia" w:ascii="Times New Roman" w:hAnsi="Times New Roman" w:eastAsia="仿宋_GB2312" w:cs="Times New Roman"/>
          <w:b w:val="0"/>
          <w:bCs/>
          <w:sz w:val="32"/>
          <w:szCs w:val="21"/>
          <w:lang w:val="en-US" w:eastAsia="zh-CN"/>
        </w:rPr>
        <w:t>‘</w:t>
      </w:r>
      <w:r>
        <w:rPr>
          <w:rFonts w:hint="default" w:ascii="Times New Roman" w:hAnsi="Times New Roman" w:eastAsia="仿宋_GB2312" w:cs="Times New Roman"/>
          <w:b w:val="0"/>
          <w:bCs/>
          <w:sz w:val="32"/>
          <w:szCs w:val="21"/>
          <w:lang w:val="en-US" w:eastAsia="zh-CN"/>
        </w:rPr>
        <w:t>食用香料</w:t>
      </w:r>
      <w:r>
        <w:rPr>
          <w:rFonts w:hint="eastAsia" w:ascii="Times New Roman" w:hAnsi="Times New Roman" w:eastAsia="仿宋_GB2312" w:cs="Times New Roman"/>
          <w:b w:val="0"/>
          <w:bCs/>
          <w:sz w:val="32"/>
          <w:szCs w:val="21"/>
          <w:lang w:val="en-US" w:eastAsia="zh-CN"/>
        </w:rPr>
        <w:t>’</w:t>
      </w:r>
      <w:r>
        <w:rPr>
          <w:rFonts w:hint="default" w:ascii="Times New Roman" w:hAnsi="Times New Roman" w:eastAsia="仿宋_GB2312" w:cs="Times New Roman"/>
          <w:b w:val="0"/>
          <w:bCs/>
          <w:sz w:val="32"/>
          <w:szCs w:val="21"/>
          <w:lang w:val="en-US" w:eastAsia="zh-CN"/>
        </w:rPr>
        <w:t>，或者</w:t>
      </w:r>
      <w:r>
        <w:rPr>
          <w:rFonts w:hint="eastAsia" w:ascii="Times New Roman" w:hAnsi="Times New Roman" w:eastAsia="仿宋_GB2312" w:cs="Times New Roman"/>
          <w:b w:val="0"/>
          <w:bCs/>
          <w:sz w:val="32"/>
          <w:szCs w:val="21"/>
          <w:lang w:val="en-US" w:eastAsia="zh-CN"/>
        </w:rPr>
        <w:t>‘</w:t>
      </w:r>
      <w:r>
        <w:rPr>
          <w:rFonts w:hint="default" w:ascii="Times New Roman" w:hAnsi="Times New Roman" w:eastAsia="仿宋_GB2312" w:cs="Times New Roman"/>
          <w:b w:val="0"/>
          <w:bCs/>
          <w:sz w:val="32"/>
          <w:szCs w:val="21"/>
          <w:lang w:val="en-US" w:eastAsia="zh-CN"/>
        </w:rPr>
        <w:t>食用香精香料</w:t>
      </w:r>
      <w:r>
        <w:rPr>
          <w:rFonts w:hint="eastAsia" w:ascii="Times New Roman" w:hAnsi="Times New Roman" w:eastAsia="仿宋_GB2312" w:cs="Times New Roman"/>
          <w:b w:val="0"/>
          <w:bCs/>
          <w:sz w:val="32"/>
          <w:szCs w:val="21"/>
          <w:lang w:val="en-US" w:eastAsia="zh-CN"/>
        </w:rPr>
        <w:t>’”的规定进行标注，被申请人整改后的标签符合上述规定。被申请人认为被举报人存在标签配料表标注不规范的违法行为，鉴于被举报人违法行为轻微并已及时改正，没有造成危害后果，遂于5月19日决定不予立案，并制作赣市监不立告〔2025〕第Q051903号举报不予立案告知书，于当日通过全国12315平台告知申请人举报不予立案决定。申请人不服被申请人作出的不予立案决定，遂提起行政复议。</w:t>
      </w:r>
    </w:p>
    <w:p w14:paraId="5C91F18A">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Times New Roman"/>
          <w:bCs/>
          <w:sz w:val="32"/>
          <w:szCs w:val="21"/>
          <w:lang w:val="en-US" w:eastAsia="zh-CN"/>
        </w:rPr>
      </w:pPr>
      <w:r>
        <w:rPr>
          <w:rFonts w:hint="eastAsia" w:ascii="Times New Roman" w:hAnsi="Times New Roman" w:eastAsia="仿宋_GB2312" w:cs="Times New Roman"/>
          <w:bCs/>
          <w:sz w:val="32"/>
          <w:szCs w:val="21"/>
          <w:lang w:val="en-US" w:eastAsia="zh-CN"/>
        </w:rPr>
        <w:t>上述事实，有申请人、被申请人提交的证据证实。</w:t>
      </w:r>
    </w:p>
    <w:p w14:paraId="0ADE4F79">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仿宋_GB2312"/>
          <w:bCs/>
          <w:sz w:val="32"/>
          <w:szCs w:val="21"/>
          <w:lang w:val="en-US" w:eastAsia="zh-CN"/>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sz w:val="32"/>
        </w:rPr>
        <w:t>《市场监督管理投诉举报处理暂行办法》第四条第二款规定“县级以上地方市场监督管理部门负责本行政区域内的投诉举报处理工作”，被申请人负有处理本辖区内投诉举报的法定职责</w:t>
      </w:r>
      <w:r>
        <w:rPr>
          <w:rFonts w:hint="eastAsia" w:ascii="Times New Roman" w:hAnsi="Times New Roman" w:eastAsia="仿宋_GB2312"/>
          <w:sz w:val="32"/>
          <w:lang w:eastAsia="zh-CN"/>
        </w:rPr>
        <w:t>。</w:t>
      </w:r>
      <w:r>
        <w:rPr>
          <w:rFonts w:hint="eastAsia" w:ascii="Times New Roman" w:hAnsi="Times New Roman" w:eastAsia="仿宋_GB2312" w:cs="仿宋_GB2312"/>
          <w:bCs/>
          <w:sz w:val="32"/>
          <w:szCs w:val="21"/>
          <w:lang w:val="en-US" w:eastAsia="zh-CN"/>
        </w:rPr>
        <w:t>《市场监督管理行政处罚程序规定》第十八条第一款规定：“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第二十条第一款第一项规定：“经核查，有下列情形之一的，可以不予立案：（一）违法行为轻微并及时改正，没有造成危害后果……”《市场监督管理投诉举报处理暂行办法》第三十一条第二款规定：“举报人实名举报的，有处理权限的市场监督管理部门还应当自作出是否立案决定之日起五个工作日内告知举报人。”本案中，被申请人在收到申请人的举报材料后在规定期限内进行核查，被举报人存在标签标注不规范的违法行为。因被举报人违法行为轻微、及时改正、未造成危害后果，被申请人决定不予立案，并在规定期限内告知申请人举报不予立案决定，符合规定。</w:t>
      </w:r>
    </w:p>
    <w:p w14:paraId="2444207D">
      <w:pPr>
        <w:pStyle w:val="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综上所述，被申请人作出的具体行政行为认定事实清楚、证据确凿、适用依据正确、程序合法、内容适当。根据《中华人民共和国行政复议法》第六十八条之规定，本机关决定如下：</w:t>
      </w:r>
    </w:p>
    <w:p w14:paraId="0840A484">
      <w:pPr>
        <w:pStyle w:val="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Courier New"/>
          <w:bCs/>
          <w:sz w:val="32"/>
        </w:rPr>
      </w:pPr>
      <w:r>
        <w:rPr>
          <w:rFonts w:hint="eastAsia" w:ascii="Times New Roman" w:hAnsi="Times New Roman" w:eastAsia="仿宋_GB2312"/>
          <w:sz w:val="32"/>
        </w:rPr>
        <w:t>维持被申请人连云港市赣榆区市场监督管理局</w:t>
      </w:r>
      <w:r>
        <w:rPr>
          <w:rFonts w:hint="eastAsia" w:ascii="Times New Roman" w:hAnsi="Times New Roman" w:eastAsia="仿宋_GB2312"/>
          <w:sz w:val="32"/>
          <w:lang w:val="en-US" w:eastAsia="zh-CN"/>
        </w:rPr>
        <w:t>于2025年5月19日</w:t>
      </w:r>
      <w:r>
        <w:rPr>
          <w:rFonts w:hint="eastAsia" w:ascii="Times New Roman" w:hAnsi="Times New Roman" w:eastAsia="仿宋_GB2312"/>
          <w:sz w:val="32"/>
        </w:rPr>
        <w:t>对申请人</w:t>
      </w:r>
      <w:r>
        <w:rPr>
          <w:rFonts w:hint="eastAsia" w:ascii="Times New Roman" w:hAnsi="Times New Roman" w:eastAsia="仿宋_GB2312"/>
          <w:sz w:val="32"/>
          <w:lang w:val="en-US" w:eastAsia="zh-CN"/>
        </w:rPr>
        <w:t>周某</w:t>
      </w:r>
      <w:r>
        <w:rPr>
          <w:rFonts w:hint="eastAsia" w:ascii="Times New Roman" w:hAnsi="Times New Roman" w:eastAsia="仿宋_GB2312" w:cs="Courier New"/>
          <w:bCs/>
          <w:sz w:val="32"/>
        </w:rPr>
        <w:t>举报作出的不予立案决定。</w:t>
      </w:r>
    </w:p>
    <w:p w14:paraId="6441CB5C">
      <w:pPr>
        <w:pStyle w:val="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lang w:val="en-US" w:eastAsia="zh-CN"/>
        </w:rPr>
      </w:pPr>
      <w:r>
        <w:rPr>
          <w:rFonts w:hint="eastAsia" w:ascii="Times New Roman" w:hAnsi="Times New Roman" w:eastAsia="仿宋_GB2312"/>
          <w:sz w:val="32"/>
        </w:rPr>
        <w:t>申请人如对本决定不服，可以自接到本决定之日起15日内向连云港经济技术开发区人民法院提起行政诉讼。</w:t>
      </w:r>
      <w:r>
        <w:rPr>
          <w:rFonts w:hint="eastAsia"/>
          <w:lang w:val="en-US" w:eastAsia="zh-CN"/>
        </w:rPr>
        <w:t xml:space="preserve">   </w:t>
      </w:r>
    </w:p>
    <w:p w14:paraId="51F7DD44">
      <w:pPr>
        <w:pStyle w:val="3"/>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textAlignment w:val="auto"/>
        <w:rPr>
          <w:rFonts w:hint="eastAsia"/>
          <w:lang w:val="en-US" w:eastAsia="zh-CN"/>
        </w:rPr>
      </w:pPr>
    </w:p>
    <w:p w14:paraId="0DB03D68">
      <w:pPr>
        <w:pStyle w:val="3"/>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textAlignment w:val="auto"/>
        <w:rPr>
          <w:rFonts w:hint="eastAsia"/>
          <w:lang w:val="en-US" w:eastAsia="zh-CN"/>
        </w:rPr>
      </w:pPr>
    </w:p>
    <w:p w14:paraId="7803AB15">
      <w:pPr>
        <w:pStyle w:val="3"/>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textAlignment w:val="auto"/>
        <w:rPr>
          <w:rFonts w:hint="eastAsia"/>
          <w:lang w:val="en-US" w:eastAsia="zh-CN"/>
        </w:rPr>
      </w:pPr>
    </w:p>
    <w:p w14:paraId="07D48526">
      <w:pPr>
        <w:pStyle w:val="3"/>
        <w:keepNext w:val="0"/>
        <w:keepLines w:val="0"/>
        <w:pageBreakBefore w:val="0"/>
        <w:widowControl w:val="0"/>
        <w:kinsoku/>
        <w:wordWrap/>
        <w:overflowPunct/>
        <w:topLinePunct w:val="0"/>
        <w:autoSpaceDE/>
        <w:autoSpaceDN/>
        <w:bidi w:val="0"/>
        <w:adjustRightInd w:val="0"/>
        <w:snapToGrid w:val="0"/>
        <w:spacing w:line="540" w:lineRule="exact"/>
        <w:ind w:firstLine="420" w:firstLineChars="200"/>
        <w:textAlignment w:val="auto"/>
        <w:rPr>
          <w:rFonts w:hint="default" w:ascii="Times New Roman" w:hAnsi="Times New Roman" w:eastAsia="仿宋_GB2312"/>
          <w:sz w:val="32"/>
          <w:lang w:val="en-US" w:eastAsia="zh-CN"/>
        </w:rPr>
      </w:pPr>
      <w:r>
        <w:rPr>
          <w:rFonts w:hint="eastAsia"/>
          <w:lang w:val="en-US" w:eastAsia="zh-CN"/>
        </w:rPr>
        <w:t xml:space="preserve">                                                  </w:t>
      </w:r>
      <w:r>
        <w:rPr>
          <w:rFonts w:hint="eastAsia" w:ascii="Times New Roman" w:hAnsi="Times New Roman" w:eastAsia="仿宋_GB2312"/>
          <w:sz w:val="32"/>
          <w:lang w:val="en-US" w:eastAsia="zh-CN"/>
        </w:rPr>
        <w:t>2025年9月10日</w:t>
      </w:r>
    </w:p>
    <w:p w14:paraId="56AD186B">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rPr>
      </w:pPr>
    </w:p>
    <w:p w14:paraId="2CB65936">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rPr>
      </w:pPr>
    </w:p>
    <w:p w14:paraId="0FFDEBFC">
      <w:pPr>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br w:type="page"/>
      </w:r>
    </w:p>
    <w:p w14:paraId="6FF9993D">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附：本决定适用的相关法律依据：</w:t>
      </w:r>
    </w:p>
    <w:p w14:paraId="01AE1132">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《中华人民共和国行政复议法》</w:t>
      </w:r>
    </w:p>
    <w:p w14:paraId="076E15A4">
      <w:pPr>
        <w:pStyle w:val="3"/>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第六十八条</w:t>
      </w:r>
      <w:bookmarkStart w:id="0" w:name="tiao_68_kuan_1"/>
      <w:bookmarkEnd w:id="0"/>
      <w:r>
        <w:rPr>
          <w:rFonts w:hint="eastAsia" w:ascii="Times New Roman" w:hAnsi="Times New Roman" w:eastAsia="仿宋_GB2312" w:cstheme="minorBidi"/>
          <w:kern w:val="2"/>
          <w:sz w:val="32"/>
          <w:szCs w:val="24"/>
          <w:lang w:val="en-US" w:eastAsia="zh-CN" w:bidi="ar-SA"/>
        </w:rPr>
        <w:t>　行政行为认定事实清楚，证据确凿，适用依据正确，程序合法，内容适当的，行政复议机关决定维持该行政行为。</w:t>
      </w:r>
    </w:p>
    <w:p w14:paraId="0368C6B3">
      <w:pPr>
        <w:keepNext w:val="0"/>
        <w:keepLines w:val="0"/>
        <w:pageBreakBefore w:val="0"/>
        <w:widowControl w:val="0"/>
        <w:kinsoku/>
        <w:wordWrap w:val="0"/>
        <w:overflowPunct/>
        <w:topLinePunct w:val="0"/>
        <w:autoSpaceDE/>
        <w:autoSpaceDN/>
        <w:bidi w:val="0"/>
        <w:adjustRightInd w:val="0"/>
        <w:snapToGrid w:val="0"/>
        <w:spacing w:line="540" w:lineRule="exact"/>
        <w:jc w:val="right"/>
        <w:textAlignment w:val="auto"/>
        <w:rPr>
          <w:rFonts w:hint="default" w:eastAsia="仿宋_GB2312"/>
          <w:lang w:val="en-US" w:eastAsia="zh-CN"/>
        </w:rPr>
      </w:pPr>
      <w:r>
        <w:rPr>
          <w:rFonts w:hint="eastAsia"/>
          <w:lang w:val="en-US" w:eastAsia="zh-CN"/>
        </w:rPr>
        <w:t xml:space="preserve">      </w:t>
      </w:r>
    </w:p>
    <w:p w14:paraId="43AF31D0">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76EA6456">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4DAD8850">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1E623EFE">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4C83B73D">
      <w:pPr>
        <w:keepNext w:val="0"/>
        <w:keepLines w:val="0"/>
        <w:pageBreakBefore w:val="0"/>
        <w:widowControl w:val="0"/>
        <w:kinsoku/>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p>
    <w:sectPr>
      <w:footerReference r:id="rId3" w:type="default"/>
      <w:pgSz w:w="11906" w:h="16838"/>
      <w:pgMar w:top="1587"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67ECD"/>
    <w:multiLevelType w:val="singleLevel"/>
    <w:tmpl w:val="85E67E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63A1DEA"/>
    <w:rsid w:val="08EC29C7"/>
    <w:rsid w:val="09167B59"/>
    <w:rsid w:val="0A2A37A7"/>
    <w:rsid w:val="0C9B098C"/>
    <w:rsid w:val="0CCF4ADA"/>
    <w:rsid w:val="0D4E1EA3"/>
    <w:rsid w:val="10FF1C35"/>
    <w:rsid w:val="14EF677D"/>
    <w:rsid w:val="229451CA"/>
    <w:rsid w:val="22EB3DD4"/>
    <w:rsid w:val="26061115"/>
    <w:rsid w:val="26BB3CAD"/>
    <w:rsid w:val="2BF67536"/>
    <w:rsid w:val="2E5A1FFE"/>
    <w:rsid w:val="3B9F0CC3"/>
    <w:rsid w:val="3C6B187A"/>
    <w:rsid w:val="3E90786A"/>
    <w:rsid w:val="3FE70B5F"/>
    <w:rsid w:val="410C0680"/>
    <w:rsid w:val="43C81360"/>
    <w:rsid w:val="4B03027E"/>
    <w:rsid w:val="4B9A1834"/>
    <w:rsid w:val="4C1C66ED"/>
    <w:rsid w:val="4F29184C"/>
    <w:rsid w:val="50994760"/>
    <w:rsid w:val="516923D4"/>
    <w:rsid w:val="530C6CDE"/>
    <w:rsid w:val="543A0058"/>
    <w:rsid w:val="56E04EE6"/>
    <w:rsid w:val="57996E43"/>
    <w:rsid w:val="5B0311A3"/>
    <w:rsid w:val="5B6559BA"/>
    <w:rsid w:val="5C3832E4"/>
    <w:rsid w:val="601C5B05"/>
    <w:rsid w:val="61695AD8"/>
    <w:rsid w:val="63520F1A"/>
    <w:rsid w:val="67B35CFF"/>
    <w:rsid w:val="69115550"/>
    <w:rsid w:val="6A6E4160"/>
    <w:rsid w:val="6AB21AFC"/>
    <w:rsid w:val="6EBD4F8D"/>
    <w:rsid w:val="6F773AB6"/>
    <w:rsid w:val="71641E18"/>
    <w:rsid w:val="75AA6813"/>
    <w:rsid w:val="76DF4CFB"/>
    <w:rsid w:val="79B06543"/>
    <w:rsid w:val="7A1F0FD2"/>
    <w:rsid w:val="7A855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4888</Words>
  <Characters>5044</Characters>
  <Lines>0</Lines>
  <Paragraphs>0</Paragraphs>
  <TotalTime>11</TotalTime>
  <ScaleCrop>false</ScaleCrop>
  <LinksUpToDate>false</LinksUpToDate>
  <CharactersWithSpaces>5059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2025-08-22T14:41:00Z</dcterms:created>
  <dc:creator>别</dc:creator>
  <cp:lastModifiedBy>董雪</cp:lastModifiedBy>
  <dcterms:modified xsi:type="dcterms:W3CDTF">2026-07-07T16:57:14Z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55CEB0D70A847EDE6ABF4C6A1AF95FB8_43</vt:lpwstr>
  </property>
  <property fmtid="{D5CDD505-2E9C-101B-9397-08002B2CF9AE}" pid="4" name="KSOTemplateDocerSaveRecord">
    <vt:lpwstr>eyJoZGlkIjoiMmUwZDllOTY2Y2MzN2Q1ZWEyZGY2NDQ4ZGE4NWEwM2YiLCJ1c2VySWQiOiIzMTA4NzE5NDYifQ==</vt:lpwstr>
  </property>
</Properties>
</file>