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1642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rPr>
      </w:pPr>
      <w:r>
        <w:rPr>
          <w:rFonts w:hint="eastAsia" w:ascii="方正小标宋简体" w:hAnsi="方正小标宋简体" w:eastAsia="方正小标宋简体" w:cs="方正小标宋简体"/>
          <w:b w:val="0"/>
          <w:bCs w:val="0"/>
          <w:sz w:val="44"/>
          <w:szCs w:val="21"/>
        </w:rPr>
        <w:t>连云港市赣榆区人民政府</w:t>
      </w:r>
    </w:p>
    <w:p w14:paraId="6F24132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lang w:eastAsia="zh-CN"/>
        </w:rPr>
      </w:pPr>
      <w:r>
        <w:rPr>
          <w:rFonts w:hint="eastAsia" w:ascii="方正小标宋简体" w:hAnsi="方正小标宋简体" w:eastAsia="方正小标宋简体" w:cs="方正小标宋简体"/>
          <w:b w:val="0"/>
          <w:bCs w:val="0"/>
          <w:sz w:val="44"/>
          <w:szCs w:val="21"/>
          <w:lang w:eastAsia="zh-CN"/>
        </w:rPr>
        <w:t>驳回</w:t>
      </w:r>
      <w:r>
        <w:rPr>
          <w:rFonts w:hint="eastAsia" w:ascii="方正小标宋简体" w:hAnsi="方正小标宋简体" w:eastAsia="方正小标宋简体" w:cs="方正小标宋简体"/>
          <w:b w:val="0"/>
          <w:bCs w:val="0"/>
          <w:sz w:val="44"/>
          <w:szCs w:val="21"/>
        </w:rPr>
        <w:t>行政复议</w:t>
      </w:r>
      <w:r>
        <w:rPr>
          <w:rFonts w:hint="eastAsia" w:ascii="方正小标宋简体" w:hAnsi="方正小标宋简体" w:eastAsia="方正小标宋简体" w:cs="方正小标宋简体"/>
          <w:b w:val="0"/>
          <w:bCs w:val="0"/>
          <w:sz w:val="44"/>
          <w:szCs w:val="21"/>
          <w:lang w:eastAsia="zh-CN"/>
        </w:rPr>
        <w:t>申请</w:t>
      </w:r>
      <w:r>
        <w:rPr>
          <w:rFonts w:hint="eastAsia" w:ascii="方正小标宋简体" w:hAnsi="方正小标宋简体" w:eastAsia="方正小标宋简体" w:cs="方正小标宋简体"/>
          <w:b w:val="0"/>
          <w:bCs w:val="0"/>
          <w:sz w:val="44"/>
          <w:szCs w:val="21"/>
        </w:rPr>
        <w:t>决定书</w:t>
      </w:r>
    </w:p>
    <w:p w14:paraId="0020FE5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bCs/>
        </w:rPr>
      </w:pPr>
    </w:p>
    <w:p w14:paraId="34254333">
      <w:pPr>
        <w:keepNext w:val="0"/>
        <w:keepLines w:val="0"/>
        <w:pageBreakBefore w:val="0"/>
        <w:widowControl w:val="0"/>
        <w:kinsoku/>
        <w:wordWrap/>
        <w:overflowPunct/>
        <w:topLinePunct w:val="0"/>
        <w:autoSpaceDE/>
        <w:autoSpaceDN/>
        <w:bidi w:val="0"/>
        <w:adjustRightInd w:val="0"/>
        <w:snapToGrid w:val="0"/>
        <w:spacing w:line="540" w:lineRule="exact"/>
        <w:ind w:firstLine="3510"/>
        <w:jc w:val="right"/>
        <w:textAlignment w:val="auto"/>
        <w:rPr>
          <w:rFonts w:hint="eastAsia" w:ascii="Times New Roman" w:hAnsi="Times New Roman" w:eastAsia="仿宋_GB2312" w:cs="Times New Roman"/>
          <w:bCs/>
          <w:sz w:val="32"/>
          <w:szCs w:val="21"/>
        </w:rPr>
      </w:pPr>
      <w:r>
        <w:rPr>
          <w:rFonts w:hint="default" w:ascii="Times New Roman" w:hAnsi="Times New Roman" w:eastAsia="仿宋_GB2312" w:cs="Times New Roman"/>
          <w:bCs/>
          <w:sz w:val="32"/>
          <w:szCs w:val="21"/>
        </w:rPr>
        <w:t>〔202</w:t>
      </w:r>
      <w:r>
        <w:rPr>
          <w:rFonts w:hint="eastAsia" w:ascii="Times New Roman" w:hAnsi="Times New Roman" w:eastAsia="仿宋_GB2312" w:cs="Times New Roman"/>
          <w:bCs/>
          <w:sz w:val="32"/>
          <w:szCs w:val="21"/>
          <w:lang w:val="en-US" w:eastAsia="zh-CN"/>
        </w:rPr>
        <w:t>5</w:t>
      </w:r>
      <w:r>
        <w:rPr>
          <w:rFonts w:hint="default" w:ascii="Times New Roman" w:hAnsi="Times New Roman" w:eastAsia="仿宋_GB2312" w:cs="Times New Roman"/>
          <w:bCs/>
          <w:sz w:val="32"/>
          <w:szCs w:val="21"/>
        </w:rPr>
        <w:t>〕赣行复第</w:t>
      </w:r>
      <w:r>
        <w:rPr>
          <w:rFonts w:hint="eastAsia" w:ascii="Times New Roman" w:hAnsi="Times New Roman" w:eastAsia="仿宋_GB2312" w:cs="Times New Roman"/>
          <w:bCs/>
          <w:sz w:val="32"/>
          <w:szCs w:val="21"/>
          <w:lang w:val="en-US" w:eastAsia="zh-CN"/>
        </w:rPr>
        <w:t>320</w:t>
      </w:r>
      <w:r>
        <w:rPr>
          <w:rFonts w:hint="default" w:ascii="Times New Roman" w:hAnsi="Times New Roman" w:eastAsia="仿宋_GB2312" w:cs="Times New Roman"/>
          <w:bCs/>
          <w:sz w:val="32"/>
          <w:szCs w:val="21"/>
        </w:rPr>
        <w:t>号</w:t>
      </w:r>
    </w:p>
    <w:p w14:paraId="6E25FDF0">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rPr>
      </w:pPr>
    </w:p>
    <w:p w14:paraId="18B89068">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rPr>
        <w:t>申请人：</w:t>
      </w:r>
      <w:r>
        <w:rPr>
          <w:rFonts w:hint="eastAsia" w:ascii="Times New Roman" w:hAnsi="Times New Roman" w:eastAsia="仿宋_GB2312" w:cs="Times New Roman"/>
          <w:sz w:val="32"/>
          <w:lang w:eastAsia="zh-CN"/>
        </w:rPr>
        <w:t>汤某</w:t>
      </w:r>
      <w:r>
        <w:rPr>
          <w:rFonts w:hint="eastAsia" w:ascii="Times New Roman" w:hAnsi="Times New Roman" w:eastAsia="仿宋_GB2312" w:cs="Times New Roman"/>
          <w:sz w:val="32"/>
        </w:rPr>
        <w:t>。</w:t>
      </w:r>
    </w:p>
    <w:p w14:paraId="5402FA5E">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rPr>
        <w:t>被申请人：连云港市赣榆区市场监督管理局</w:t>
      </w:r>
      <w:r>
        <w:rPr>
          <w:rFonts w:hint="eastAsia" w:ascii="Times New Roman" w:hAnsi="Times New Roman" w:eastAsia="仿宋_GB2312" w:cs="Times New Roman"/>
          <w:sz w:val="32"/>
          <w:lang w:val="en-US" w:eastAsia="zh-CN"/>
        </w:rPr>
        <w:t>。</w:t>
      </w:r>
    </w:p>
    <w:p w14:paraId="67D0201B">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w:t>
      </w:r>
      <w:bookmarkStart w:id="0" w:name="_GoBack"/>
      <w:r>
        <w:rPr>
          <w:rFonts w:hint="eastAsia" w:ascii="Times New Roman" w:hAnsi="Times New Roman" w:eastAsia="仿宋_GB2312" w:cs="Times New Roman"/>
          <w:sz w:val="32"/>
          <w:lang w:eastAsia="zh-CN"/>
        </w:rPr>
        <w:t>汤某</w:t>
      </w:r>
      <w:r>
        <w:rPr>
          <w:rFonts w:hint="eastAsia" w:ascii="Times New Roman" w:hAnsi="Times New Roman" w:eastAsia="仿宋_GB2312" w:cs="Times New Roman"/>
          <w:sz w:val="32"/>
          <w:lang w:val="en-US" w:eastAsia="zh-CN"/>
        </w:rPr>
        <w:t>不服被申请人连云港市赣榆区市场监督管理局对举报赣榆区某水产品经营部（个体工商户）（以下称被举报人）的处理</w:t>
      </w:r>
      <w:bookmarkEnd w:id="0"/>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于202</w:t>
      </w:r>
      <w:r>
        <w:rPr>
          <w:rFonts w:hint="eastAsia" w:ascii="Times New Roman" w:hAnsi="Times New Roman" w:eastAsia="仿宋_GB2312" w:cs="Times New Roman"/>
          <w:sz w:val="32"/>
          <w:lang w:val="en-US" w:eastAsia="zh-CN"/>
        </w:rPr>
        <w:t>5</w:t>
      </w:r>
      <w:r>
        <w:rPr>
          <w:rFonts w:hint="default" w:ascii="Times New Roman" w:hAnsi="Times New Roman" w:eastAsia="仿宋_GB2312" w:cs="Times New Roman"/>
          <w:sz w:val="32"/>
          <w:lang w:val="en-US" w:eastAsia="zh-CN"/>
        </w:rPr>
        <w:t>年</w:t>
      </w:r>
      <w:r>
        <w:rPr>
          <w:rFonts w:hint="eastAsia" w:ascii="Times New Roman" w:hAnsi="Times New Roman" w:eastAsia="仿宋_GB2312" w:cs="Times New Roman"/>
          <w:sz w:val="32"/>
          <w:lang w:val="en-US" w:eastAsia="zh-CN"/>
        </w:rPr>
        <w:t>11</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4</w:t>
      </w:r>
      <w:r>
        <w:rPr>
          <w:rFonts w:hint="default" w:ascii="Times New Roman" w:hAnsi="Times New Roman" w:eastAsia="仿宋_GB2312" w:cs="Times New Roman"/>
          <w:sz w:val="32"/>
          <w:lang w:val="en-US" w:eastAsia="zh-CN"/>
        </w:rPr>
        <w:t>日</w:t>
      </w:r>
      <w:r>
        <w:rPr>
          <w:rFonts w:hint="eastAsia" w:ascii="Times New Roman" w:hAnsi="Times New Roman" w:eastAsia="仿宋_GB2312" w:cs="Times New Roman"/>
          <w:sz w:val="32"/>
          <w:lang w:val="en-US" w:eastAsia="zh-CN"/>
        </w:rPr>
        <w:t>向本机关申请</w:t>
      </w:r>
      <w:r>
        <w:rPr>
          <w:rFonts w:hint="default" w:ascii="Times New Roman" w:hAnsi="Times New Roman" w:eastAsia="仿宋_GB2312" w:cs="Times New Roman"/>
          <w:sz w:val="32"/>
          <w:lang w:val="en-US" w:eastAsia="zh-CN"/>
        </w:rPr>
        <w:t>行政复议，本机关</w:t>
      </w:r>
      <w:r>
        <w:rPr>
          <w:rFonts w:hint="eastAsia" w:ascii="Times New Roman" w:hAnsi="Times New Roman" w:eastAsia="仿宋_GB2312" w:cs="Times New Roman"/>
          <w:sz w:val="32"/>
          <w:lang w:val="en-US" w:eastAsia="zh-CN"/>
        </w:rPr>
        <w:t>于11月10</w:t>
      </w:r>
      <w:r>
        <w:rPr>
          <w:rFonts w:hint="default" w:ascii="Times New Roman" w:hAnsi="Times New Roman" w:eastAsia="仿宋_GB2312" w:cs="Times New Roman"/>
          <w:sz w:val="32"/>
          <w:lang w:val="en-US" w:eastAsia="zh-CN"/>
        </w:rPr>
        <w:t>日</w:t>
      </w:r>
      <w:r>
        <w:rPr>
          <w:rFonts w:hint="eastAsia" w:ascii="Times New Roman" w:hAnsi="Times New Roman" w:eastAsia="仿宋_GB2312" w:cs="Times New Roman"/>
          <w:sz w:val="32"/>
          <w:lang w:val="en-US" w:eastAsia="zh-CN"/>
        </w:rPr>
        <w:t>依法已予</w:t>
      </w:r>
      <w:r>
        <w:rPr>
          <w:rFonts w:hint="default" w:ascii="Times New Roman" w:hAnsi="Times New Roman" w:eastAsia="仿宋_GB2312" w:cs="Times New Roman"/>
          <w:sz w:val="32"/>
          <w:lang w:val="en-US" w:eastAsia="zh-CN"/>
        </w:rPr>
        <w:t>受理，</w:t>
      </w:r>
      <w:r>
        <w:rPr>
          <w:rFonts w:hint="eastAsia" w:ascii="Times New Roman" w:hAnsi="Times New Roman" w:eastAsia="仿宋_GB2312" w:cs="Times New Roman"/>
          <w:sz w:val="32"/>
          <w:lang w:val="en-US" w:eastAsia="zh-CN"/>
        </w:rPr>
        <w:t>并适用普通程序审理。</w:t>
      </w:r>
      <w:r>
        <w:rPr>
          <w:rFonts w:hint="default" w:ascii="Times New Roman" w:hAnsi="Times New Roman" w:eastAsia="仿宋_GB2312" w:cs="Times New Roman"/>
          <w:sz w:val="32"/>
          <w:lang w:val="en-US" w:eastAsia="zh-CN"/>
        </w:rPr>
        <w:t>被申请人在规定期限内向本机关提交了书面答复材料</w:t>
      </w:r>
      <w:r>
        <w:rPr>
          <w:rFonts w:hint="eastAsia" w:ascii="Times New Roman" w:hAnsi="Times New Roman" w:eastAsia="仿宋_GB2312" w:cs="Times New Roman"/>
          <w:sz w:val="32"/>
          <w:lang w:val="en-US" w:eastAsia="zh-CN"/>
        </w:rPr>
        <w:t>及证据材料</w:t>
      </w:r>
      <w:r>
        <w:rPr>
          <w:rFonts w:hint="default" w:ascii="Times New Roman" w:hAnsi="Times New Roman" w:eastAsia="仿宋_GB2312" w:cs="Times New Roman"/>
          <w:sz w:val="32"/>
          <w:lang w:val="en-US" w:eastAsia="zh-CN"/>
        </w:rPr>
        <w:t>。本案现已审理终结。</w:t>
      </w:r>
    </w:p>
    <w:p w14:paraId="7225810B">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lang w:val="en-US" w:eastAsia="zh-CN"/>
        </w:rPr>
        <w:t>经审理查明：</w:t>
      </w:r>
      <w:r>
        <w:rPr>
          <w:rFonts w:hint="eastAsia" w:ascii="Times New Roman" w:hAnsi="Times New Roman" w:eastAsia="仿宋_GB2312" w:cs="Times New Roman"/>
          <w:sz w:val="32"/>
          <w:lang w:val="en-US" w:eastAsia="zh-CN"/>
        </w:rPr>
        <w:t>被申请人于2025年7月7日收到申请人通过全国12315平台提起的举报，称其购买到被举报人销售的马面鱼，举报至标签厂家所在地市场监督管理局后回复该产品不是厂家生产的，故该产品是一款假冒伪劣食品，不符合食品安全标准，诉求赔付1000元、立案查处，并附上该产品链接。后被申请人向生产商北海某食品有限公司所在地市场监督管理部门（北海市市场监督管理局）制发协助赣市监协查字〔2025〕H071403号调查函，请其协助调查“一、北海某食品有限公司是否是你辖区内合法市场主体；二、该企业是否取得食品生产资质；三、该企业是否生产马面鱼类产品；四、附件所示生产日期为2025.06.01的产品是否是该企业生产；五、附件所示产品出厂检验报告（编号：QY/FM-E082）及出库单（QYYT0009269）内容是否属实。”北海市市场监督管理局于8月1日复函称“北海某食品有限公司已取得食品生产资质，生产日期为2025年6月1日的单冻三去马面鱼确为该公司生产。协助调查函所附产品出厂检验报告及出库单内容属实，该批次产品为整箱销售，净含量为6.65kg/箱。经执法人员现场检查，未发现北海某食品有限公司成品库、留样室有协助调查函所附被举报产品的标签和包装袋。该公司负责人进一步进行鉴别，明确表示该产品标签、包装均非北海某食品有限公司印制或提供。”被申请人于8月7日现场调查，被举报人称涉案产品系其向北海某食品有限公司整箱购入并拆开重新包装贴标签销售。因被举报人存在销售散装食品标签不符合规定的行为，被申请人于8月7日决定立案，并对被举报人处以警告的行政处罚，于当日通过全国12315平台告知立案决定，于11月3日作出结案反馈“被举报人存在违法行为，我局依法对其进行处罚”。因申请人未查询到被举报人国家企业信息公示系统行政处罚记录，遂对该结案反馈提起行政复议。</w:t>
      </w:r>
    </w:p>
    <w:p w14:paraId="7553CFEB">
      <w:pPr>
        <w:keepNext w:val="0"/>
        <w:keepLines w:val="0"/>
        <w:pageBreakBefore w:val="0"/>
        <w:widowControl w:val="0"/>
        <w:kinsoku/>
        <w:wordWrap/>
        <w:overflowPunct/>
        <w:topLinePunct w:val="0"/>
        <w:autoSpaceDE/>
        <w:autoSpaceDN/>
        <w:bidi w:val="0"/>
        <w:adjustRightInd w:val="0"/>
        <w:snapToGrid w:val="0"/>
        <w:spacing w:line="540" w:lineRule="exact"/>
        <w:ind w:firstLine="610"/>
        <w:textAlignment w:val="auto"/>
        <w:rPr>
          <w:rFonts w:hint="default" w:ascii="Times New Roman" w:hAnsi="Times New Roman" w:eastAsia="仿宋_GB2312" w:cs="Times New Roman"/>
          <w:b w:val="0"/>
          <w:bCs/>
          <w:color w:val="0000FF"/>
          <w:sz w:val="32"/>
          <w:szCs w:val="21"/>
          <w:lang w:val="en-US" w:eastAsia="zh-CN"/>
        </w:rPr>
      </w:pPr>
      <w:r>
        <w:rPr>
          <w:rFonts w:hint="default" w:ascii="Times New Roman" w:hAnsi="Times New Roman" w:eastAsia="仿宋_GB2312" w:cs="Times New Roman"/>
          <w:b w:val="0"/>
          <w:bCs/>
          <w:sz w:val="32"/>
          <w:szCs w:val="21"/>
          <w:lang w:val="en-US" w:eastAsia="zh-CN"/>
        </w:rPr>
        <w:t>另查明，</w:t>
      </w:r>
      <w:r>
        <w:rPr>
          <w:rFonts w:hint="eastAsia" w:ascii="Times New Roman" w:hAnsi="Times New Roman" w:eastAsia="仿宋_GB2312" w:cs="Times New Roman"/>
          <w:b w:val="0"/>
          <w:bCs/>
          <w:sz w:val="32"/>
          <w:szCs w:val="21"/>
          <w:lang w:val="en-US" w:eastAsia="zh-CN"/>
        </w:rPr>
        <w:t>据不完全统计</w:t>
      </w:r>
      <w:r>
        <w:rPr>
          <w:rFonts w:hint="default" w:ascii="Times New Roman" w:hAnsi="Times New Roman" w:eastAsia="仿宋_GB2312" w:cs="Times New Roman"/>
          <w:b w:val="0"/>
          <w:bCs/>
          <w:sz w:val="32"/>
          <w:szCs w:val="21"/>
          <w:lang w:val="en-US" w:eastAsia="zh-CN"/>
        </w:rPr>
        <w:t>，</w:t>
      </w:r>
      <w:r>
        <w:rPr>
          <w:rFonts w:hint="eastAsia" w:ascii="Times New Roman" w:hAnsi="Times New Roman" w:eastAsia="仿宋_GB2312" w:cs="Times New Roman"/>
          <w:b w:val="0"/>
          <w:bCs/>
          <w:sz w:val="32"/>
          <w:szCs w:val="21"/>
          <w:lang w:val="en-US" w:eastAsia="zh-CN"/>
        </w:rPr>
        <w:t>截至2025年11</w:t>
      </w:r>
      <w:r>
        <w:rPr>
          <w:rFonts w:hint="default" w:ascii="Times New Roman" w:hAnsi="Times New Roman" w:eastAsia="仿宋_GB2312" w:cs="Times New Roman"/>
          <w:b w:val="0"/>
          <w:bCs/>
          <w:sz w:val="32"/>
          <w:szCs w:val="21"/>
          <w:lang w:val="en-US" w:eastAsia="zh-CN"/>
        </w:rPr>
        <w:t>月</w:t>
      </w:r>
      <w:r>
        <w:rPr>
          <w:rFonts w:hint="eastAsia" w:ascii="Times New Roman" w:hAnsi="Times New Roman" w:eastAsia="仿宋_GB2312" w:cs="Times New Roman"/>
          <w:b w:val="0"/>
          <w:bCs/>
          <w:sz w:val="32"/>
          <w:szCs w:val="21"/>
          <w:lang w:val="en-US" w:eastAsia="zh-CN"/>
        </w:rPr>
        <w:t>11</w:t>
      </w:r>
      <w:r>
        <w:rPr>
          <w:rFonts w:hint="default" w:ascii="Times New Roman" w:hAnsi="Times New Roman" w:eastAsia="仿宋_GB2312" w:cs="Times New Roman"/>
          <w:b w:val="0"/>
          <w:bCs/>
          <w:sz w:val="32"/>
          <w:szCs w:val="21"/>
          <w:lang w:val="en-US" w:eastAsia="zh-CN"/>
        </w:rPr>
        <w:t>日，申请人累计投诉</w:t>
      </w:r>
      <w:r>
        <w:rPr>
          <w:rFonts w:hint="eastAsia" w:ascii="Times New Roman" w:hAnsi="Times New Roman" w:eastAsia="仿宋_GB2312" w:cs="Times New Roman"/>
          <w:b w:val="0"/>
          <w:bCs/>
          <w:sz w:val="32"/>
          <w:szCs w:val="21"/>
          <w:lang w:val="en-US" w:eastAsia="zh-CN"/>
        </w:rPr>
        <w:t>280</w:t>
      </w:r>
      <w:r>
        <w:rPr>
          <w:rFonts w:hint="default" w:ascii="Times New Roman" w:hAnsi="Times New Roman" w:eastAsia="仿宋_GB2312" w:cs="Times New Roman"/>
          <w:b w:val="0"/>
          <w:bCs/>
          <w:sz w:val="32"/>
          <w:szCs w:val="21"/>
          <w:lang w:val="en-US" w:eastAsia="zh-CN"/>
        </w:rPr>
        <w:t>次，举报</w:t>
      </w:r>
      <w:r>
        <w:rPr>
          <w:rFonts w:hint="eastAsia" w:ascii="Times New Roman" w:hAnsi="Times New Roman" w:eastAsia="仿宋_GB2312" w:cs="Times New Roman"/>
          <w:b w:val="0"/>
          <w:bCs/>
          <w:sz w:val="32"/>
          <w:szCs w:val="21"/>
          <w:lang w:val="en-US" w:eastAsia="zh-CN"/>
        </w:rPr>
        <w:t>3841</w:t>
      </w:r>
      <w:r>
        <w:rPr>
          <w:rFonts w:hint="default" w:ascii="Times New Roman" w:hAnsi="Times New Roman" w:eastAsia="仿宋_GB2312" w:cs="Times New Roman"/>
          <w:b w:val="0"/>
          <w:bCs/>
          <w:sz w:val="32"/>
          <w:szCs w:val="21"/>
          <w:lang w:val="en-US" w:eastAsia="zh-CN"/>
        </w:rPr>
        <w:t>次</w:t>
      </w:r>
      <w:r>
        <w:rPr>
          <w:rFonts w:hint="eastAsia" w:ascii="Times New Roman" w:hAnsi="Times New Roman" w:eastAsia="仿宋_GB2312" w:cs="Times New Roman"/>
          <w:b w:val="0"/>
          <w:bCs/>
          <w:sz w:val="32"/>
          <w:szCs w:val="21"/>
          <w:lang w:val="en-US" w:eastAsia="zh-CN"/>
        </w:rPr>
        <w:t>，且针对投诉举报处理提起大量行政复议，仅本机关便收到其行政复议申请16件</w:t>
      </w:r>
      <w:r>
        <w:rPr>
          <w:rFonts w:hint="default" w:ascii="Times New Roman" w:hAnsi="Times New Roman" w:eastAsia="仿宋_GB2312" w:cs="Times New Roman"/>
          <w:b w:val="0"/>
          <w:bCs/>
          <w:sz w:val="32"/>
          <w:szCs w:val="21"/>
          <w:lang w:val="en-US" w:eastAsia="zh-CN"/>
        </w:rPr>
        <w:t>。</w:t>
      </w:r>
    </w:p>
    <w:p w14:paraId="2DD043B2">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Times New Roman" w:hAnsi="Times New Roman" w:eastAsia="仿宋_GB2312"/>
          <w:sz w:val="32"/>
        </w:rPr>
      </w:pPr>
      <w:r>
        <w:rPr>
          <w:rFonts w:hint="eastAsia" w:ascii="Times New Roman" w:hAnsi="Times New Roman" w:eastAsia="仿宋_GB2312" w:cs="Times New Roman"/>
          <w:b/>
          <w:bCs/>
          <w:sz w:val="32"/>
          <w:lang w:val="en-US" w:eastAsia="zh-CN"/>
        </w:rPr>
        <w:t>本机关认为：</w:t>
      </w:r>
      <w:r>
        <w:rPr>
          <w:rFonts w:hint="eastAsia" w:ascii="Times New Roman" w:hAnsi="Times New Roman" w:eastAsia="仿宋_GB2312"/>
          <w:sz w:val="32"/>
        </w:rPr>
        <w:t>《中华人民共和国行政复议法》第一条规定：“为了防止和纠正违法的或者不当的行政行为，保护公民、法人和其他组织的合法权益，监督和保障行政机关依法行使职权，发挥行政复议化解行政争议的主渠道作用，推进法治政府建设，根据宪法，制定本法。”第二条</w:t>
      </w:r>
      <w:r>
        <w:rPr>
          <w:rFonts w:hint="eastAsia" w:ascii="Times New Roman" w:hAnsi="Times New Roman" w:eastAsia="仿宋_GB2312"/>
          <w:sz w:val="32"/>
          <w:lang w:eastAsia="zh-CN"/>
        </w:rPr>
        <w:t>第一款</w:t>
      </w:r>
      <w:r>
        <w:rPr>
          <w:rFonts w:hint="eastAsia" w:ascii="Times New Roman" w:hAnsi="Times New Roman" w:eastAsia="仿宋_GB2312"/>
          <w:sz w:val="32"/>
        </w:rPr>
        <w:t>规定：“公民、法人或者其他组织认为行政机关的行政行为侵犯其合法权益，向行政复议机关提出行政复议申请，行政复议机关办理行政复议案件，适用本法</w:t>
      </w:r>
      <w:r>
        <w:rPr>
          <w:rFonts w:hint="eastAsia" w:ascii="Times New Roman" w:hAnsi="Times New Roman" w:eastAsia="仿宋_GB2312"/>
          <w:sz w:val="32"/>
          <w:lang w:eastAsia="zh-CN"/>
        </w:rPr>
        <w:t>……</w:t>
      </w:r>
      <w:r>
        <w:rPr>
          <w:rFonts w:hint="eastAsia" w:ascii="Times New Roman" w:hAnsi="Times New Roman" w:eastAsia="仿宋_GB2312"/>
          <w:sz w:val="32"/>
        </w:rPr>
        <w:t>”第三十条第一款第（二）项规定：“行政复议机关收到行政复议申请后，应当在五日内进行审查。对符合下列规定的，行政复议机关应当予以受理：……（二）申请人与被申请行政复议的行政行为有利害关系；……”根据上述规定，行政复议申请人资格应当以与行政行为有利害关系为前提，即申请人的合法权益可能受到行政行为的侵害且该侵害对申请人的合法权益产生的影响具有直接关联性</w:t>
      </w:r>
      <w:r>
        <w:rPr>
          <w:rFonts w:hint="eastAsia" w:ascii="Times New Roman" w:hAnsi="Times New Roman" w:eastAsia="仿宋_GB2312"/>
          <w:sz w:val="32"/>
          <w:lang w:eastAsia="zh-CN"/>
        </w:rPr>
        <w:t>。</w:t>
      </w:r>
      <w:r>
        <w:rPr>
          <w:rFonts w:hint="eastAsia" w:ascii="Times New Roman" w:hAnsi="Times New Roman" w:eastAsia="仿宋_GB2312"/>
          <w:sz w:val="32"/>
        </w:rPr>
        <w:t>本案中，</w:t>
      </w:r>
      <w:r>
        <w:rPr>
          <w:rFonts w:hint="eastAsia" w:ascii="Times New Roman" w:hAnsi="Times New Roman" w:eastAsia="仿宋_GB2312"/>
          <w:sz w:val="32"/>
          <w:lang w:eastAsia="zh-CN"/>
        </w:rPr>
        <w:t>被申请人对申请人投诉举报进行了处理，且作出</w:t>
      </w:r>
      <w:r>
        <w:rPr>
          <w:rFonts w:hint="eastAsia" w:ascii="Times New Roman" w:hAnsi="Times New Roman" w:eastAsia="仿宋_GB2312" w:cs="Times New Roman"/>
          <w:sz w:val="32"/>
          <w:lang w:val="en-US" w:eastAsia="zh-CN"/>
        </w:rPr>
        <w:t>依法对被举报人进行处罚的结案反馈</w:t>
      </w:r>
      <w:r>
        <w:rPr>
          <w:rFonts w:hint="eastAsia" w:ascii="Times New Roman" w:hAnsi="Times New Roman" w:eastAsia="仿宋_GB2312"/>
          <w:sz w:val="32"/>
          <w:lang w:eastAsia="zh-CN"/>
        </w:rPr>
        <w:t>。申请人对被申请人行政处罚的真实性表示怀疑，对该反馈提起行政复议，不属于行政复议受理范围</w:t>
      </w:r>
      <w:r>
        <w:rPr>
          <w:rFonts w:hint="eastAsia" w:ascii="Times New Roman" w:hAnsi="Times New Roman" w:eastAsia="仿宋_GB2312"/>
          <w:sz w:val="32"/>
        </w:rPr>
        <w:t>。</w:t>
      </w:r>
      <w:r>
        <w:rPr>
          <w:rFonts w:hint="eastAsia" w:ascii="Times New Roman" w:hAnsi="Times New Roman" w:eastAsia="仿宋_GB2312"/>
          <w:sz w:val="32"/>
          <w:lang w:eastAsia="zh-CN"/>
        </w:rPr>
        <w:t>另，</w:t>
      </w:r>
      <w:r>
        <w:rPr>
          <w:rFonts w:hint="eastAsia" w:ascii="Times New Roman" w:hAnsi="Times New Roman" w:eastAsia="仿宋_GB2312"/>
          <w:sz w:val="32"/>
        </w:rPr>
        <w:t>全国12315平台记录显示，</w:t>
      </w:r>
      <w:r>
        <w:rPr>
          <w:rFonts w:hint="eastAsia" w:ascii="Times New Roman" w:hAnsi="Times New Roman" w:eastAsia="仿宋_GB2312" w:cs="Times New Roman"/>
          <w:b w:val="0"/>
          <w:bCs/>
          <w:sz w:val="32"/>
          <w:szCs w:val="21"/>
          <w:lang w:val="en-US" w:eastAsia="zh-CN"/>
        </w:rPr>
        <w:t>截至2025年11</w:t>
      </w:r>
      <w:r>
        <w:rPr>
          <w:rFonts w:hint="default" w:ascii="Times New Roman" w:hAnsi="Times New Roman" w:eastAsia="仿宋_GB2312" w:cs="Times New Roman"/>
          <w:b w:val="0"/>
          <w:bCs/>
          <w:sz w:val="32"/>
          <w:szCs w:val="21"/>
          <w:lang w:val="en-US" w:eastAsia="zh-CN"/>
        </w:rPr>
        <w:t>月</w:t>
      </w:r>
      <w:r>
        <w:rPr>
          <w:rFonts w:hint="eastAsia" w:ascii="Times New Roman" w:hAnsi="Times New Roman" w:eastAsia="仿宋_GB2312" w:cs="Times New Roman"/>
          <w:b w:val="0"/>
          <w:bCs/>
          <w:sz w:val="32"/>
          <w:szCs w:val="21"/>
          <w:lang w:val="en-US" w:eastAsia="zh-CN"/>
        </w:rPr>
        <w:t>11</w:t>
      </w:r>
      <w:r>
        <w:rPr>
          <w:rFonts w:hint="default" w:ascii="Times New Roman" w:hAnsi="Times New Roman" w:eastAsia="仿宋_GB2312" w:cs="Times New Roman"/>
          <w:b w:val="0"/>
          <w:bCs/>
          <w:sz w:val="32"/>
          <w:szCs w:val="21"/>
          <w:lang w:val="en-US" w:eastAsia="zh-CN"/>
        </w:rPr>
        <w:t>日，</w:t>
      </w:r>
      <w:r>
        <w:rPr>
          <w:rFonts w:hint="eastAsia" w:ascii="Times New Roman" w:hAnsi="Times New Roman" w:eastAsia="仿宋_GB2312"/>
          <w:sz w:val="32"/>
        </w:rPr>
        <w:t>申请人累计投诉举报</w:t>
      </w:r>
      <w:r>
        <w:rPr>
          <w:rFonts w:hint="eastAsia" w:ascii="Times New Roman" w:hAnsi="Times New Roman" w:eastAsia="仿宋_GB2312"/>
          <w:sz w:val="32"/>
          <w:lang w:val="en-US" w:eastAsia="zh-CN"/>
        </w:rPr>
        <w:t>4100</w:t>
      </w:r>
      <w:r>
        <w:rPr>
          <w:rFonts w:hint="eastAsia" w:ascii="Times New Roman" w:hAnsi="Times New Roman" w:eastAsia="仿宋_GB2312"/>
          <w:sz w:val="32"/>
        </w:rPr>
        <w:t>余次。结合</w:t>
      </w:r>
      <w:r>
        <w:rPr>
          <w:rFonts w:hint="eastAsia" w:ascii="Times New Roman" w:hAnsi="Times New Roman" w:eastAsia="仿宋_GB2312"/>
          <w:sz w:val="32"/>
          <w:lang w:eastAsia="zh-CN"/>
        </w:rPr>
        <w:t>申请人</w:t>
      </w:r>
      <w:r>
        <w:rPr>
          <w:rFonts w:hint="eastAsia" w:ascii="Times New Roman" w:hAnsi="Times New Roman" w:eastAsia="仿宋_GB2312"/>
          <w:sz w:val="32"/>
        </w:rPr>
        <w:t>过度频繁购买商品后再投诉举报的事实，可以认定其行为已经超越了普通消费者基于维护自身合法权益而进行的投诉举报，不属于《中华人民共和国消费者权益保护法》及相关司法解释规定的受保护的消费者。故申请人与被申请人就其投诉举报作出的处理行为没有利害关系，依法</w:t>
      </w:r>
      <w:r>
        <w:rPr>
          <w:rFonts w:hint="eastAsia" w:ascii="Times New Roman" w:hAnsi="Times New Roman" w:eastAsia="仿宋_GB2312"/>
          <w:sz w:val="32"/>
          <w:lang w:eastAsia="zh-CN"/>
        </w:rPr>
        <w:t>亦</w:t>
      </w:r>
      <w:r>
        <w:rPr>
          <w:rFonts w:hint="eastAsia" w:ascii="Times New Roman" w:hAnsi="Times New Roman" w:eastAsia="仿宋_GB2312"/>
          <w:sz w:val="32"/>
        </w:rPr>
        <w:t>不应受理</w:t>
      </w:r>
      <w:r>
        <w:rPr>
          <w:rFonts w:hint="eastAsia" w:ascii="Times New Roman" w:hAnsi="Times New Roman" w:eastAsia="仿宋_GB2312"/>
          <w:sz w:val="32"/>
          <w:lang w:eastAsia="zh-CN"/>
        </w:rPr>
        <w:t>。</w:t>
      </w:r>
      <w:r>
        <w:rPr>
          <w:rFonts w:hint="eastAsia" w:ascii="Times New Roman" w:hAnsi="Times New Roman" w:eastAsia="仿宋_GB2312"/>
          <w:sz w:val="32"/>
        </w:rPr>
        <w:t>鉴于已经受理，应予以驳回申请。</w:t>
      </w:r>
    </w:p>
    <w:p w14:paraId="6FE116D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lang w:eastAsia="zh-CN"/>
        </w:rPr>
        <w:t>此外，当事人行使行政复议权应当具有值得通过行政复议程序予以保护的正当利益，不得有非建立在诚信行为基础上的恶意复议行为。申请人针对市监部门对其大量</w:t>
      </w:r>
      <w:r>
        <w:rPr>
          <w:rFonts w:hint="eastAsia" w:ascii="Times New Roman" w:hAnsi="Times New Roman" w:eastAsia="仿宋_GB2312"/>
          <w:sz w:val="32"/>
        </w:rPr>
        <w:t>投诉举报</w:t>
      </w:r>
      <w:r>
        <w:rPr>
          <w:rFonts w:hint="eastAsia" w:ascii="Times New Roman" w:hAnsi="Times New Roman" w:eastAsia="仿宋_GB2312"/>
          <w:sz w:val="32"/>
          <w:lang w:eastAsia="zh-CN"/>
        </w:rPr>
        <w:t>进行的处理提起大量行政</w:t>
      </w:r>
      <w:r>
        <w:rPr>
          <w:rFonts w:hint="eastAsia" w:ascii="Times New Roman" w:hAnsi="Times New Roman" w:eastAsia="仿宋_GB2312"/>
          <w:sz w:val="32"/>
        </w:rPr>
        <w:t>复议，</w:t>
      </w:r>
      <w:r>
        <w:rPr>
          <w:rFonts w:hint="eastAsia" w:ascii="Times New Roman" w:hAnsi="Times New Roman" w:eastAsia="仿宋_GB2312"/>
          <w:sz w:val="32"/>
          <w:lang w:eastAsia="zh-CN"/>
        </w:rPr>
        <w:t>超出了必要、合理的限度，</w:t>
      </w:r>
      <w:r>
        <w:rPr>
          <w:rFonts w:hint="eastAsia" w:ascii="Times New Roman" w:hAnsi="Times New Roman" w:eastAsia="仿宋_GB2312"/>
          <w:sz w:val="32"/>
        </w:rPr>
        <w:t>已明显偏离权利救济的正当目的，构成滥用行政复议权利。行政复议资源是有限且宝贵的公共资源，旨在为确有救济需求的申请人提供公正高效的救济渠道。申请人的行为不仅挤占和耗费了本已紧张</w:t>
      </w:r>
      <w:r>
        <w:rPr>
          <w:rFonts w:hint="eastAsia" w:ascii="Times New Roman" w:hAnsi="Times New Roman" w:eastAsia="仿宋_GB2312"/>
          <w:sz w:val="32"/>
          <w:lang w:eastAsia="zh-CN"/>
        </w:rPr>
        <w:t>的</w:t>
      </w:r>
      <w:r>
        <w:rPr>
          <w:rFonts w:hint="eastAsia" w:ascii="Times New Roman" w:hAnsi="Times New Roman" w:eastAsia="仿宋_GB2312"/>
          <w:sz w:val="32"/>
        </w:rPr>
        <w:t>行政复议资源</w:t>
      </w:r>
      <w:r>
        <w:rPr>
          <w:rFonts w:hint="eastAsia" w:ascii="Times New Roman" w:hAnsi="Times New Roman" w:eastAsia="仿宋_GB2312"/>
          <w:sz w:val="32"/>
          <w:lang w:eastAsia="zh-CN"/>
        </w:rPr>
        <w:t>、</w:t>
      </w:r>
      <w:r>
        <w:rPr>
          <w:rFonts w:hint="eastAsia" w:ascii="Times New Roman" w:hAnsi="Times New Roman" w:eastAsia="仿宋_GB2312"/>
          <w:sz w:val="32"/>
        </w:rPr>
        <w:t>严重扰乱了正常的市场监管秩序和行政复议秩序，也使真正需要救济的申请人难以获得及时的救济。故对申请人滥用行政复议权利的行为，复议机关应当予以遏制。</w:t>
      </w:r>
    </w:p>
    <w:p w14:paraId="234C4BA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综上，根据《中华人民共和国行政复议法》</w:t>
      </w:r>
      <w:r>
        <w:rPr>
          <w:rFonts w:hint="eastAsia" w:ascii="Times New Roman" w:hAnsi="Times New Roman" w:eastAsia="仿宋_GB2312"/>
          <w:sz w:val="32"/>
          <w:lang w:eastAsia="zh-CN"/>
        </w:rPr>
        <w:t>第三十条第一款第（二）项及第（五）项、</w:t>
      </w:r>
      <w:r>
        <w:rPr>
          <w:rFonts w:hint="eastAsia" w:ascii="Times New Roman" w:hAnsi="Times New Roman" w:eastAsia="仿宋_GB2312"/>
          <w:sz w:val="32"/>
        </w:rPr>
        <w:t>第三十三条规定，本机关决定如下：</w:t>
      </w:r>
    </w:p>
    <w:p w14:paraId="5E9C936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驳回申请人</w:t>
      </w:r>
      <w:r>
        <w:rPr>
          <w:rFonts w:hint="eastAsia" w:ascii="Times New Roman" w:hAnsi="Times New Roman" w:eastAsia="仿宋_GB2312"/>
          <w:sz w:val="32"/>
          <w:lang w:eastAsia="zh-CN"/>
        </w:rPr>
        <w:t>汤某</w:t>
      </w:r>
      <w:r>
        <w:rPr>
          <w:rFonts w:hint="eastAsia" w:ascii="Times New Roman" w:hAnsi="Times New Roman" w:eastAsia="仿宋_GB2312"/>
          <w:sz w:val="32"/>
        </w:rPr>
        <w:t>的行政复议申请。</w:t>
      </w:r>
    </w:p>
    <w:p w14:paraId="6A32957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为避免浪费行政复议资源，今后对于</w:t>
      </w:r>
      <w:r>
        <w:rPr>
          <w:rFonts w:hint="eastAsia" w:ascii="Times New Roman" w:hAnsi="Times New Roman" w:eastAsia="仿宋_GB2312"/>
          <w:sz w:val="32"/>
          <w:lang w:eastAsia="zh-CN"/>
        </w:rPr>
        <w:t>汤某</w:t>
      </w:r>
      <w:r>
        <w:rPr>
          <w:rFonts w:hint="eastAsia" w:ascii="Times New Roman" w:hAnsi="Times New Roman" w:eastAsia="仿宋_GB2312"/>
          <w:sz w:val="32"/>
        </w:rPr>
        <w:t>提交的相同或者类似的行政复议申请材料，本机关不再重复处理。</w:t>
      </w:r>
    </w:p>
    <w:p w14:paraId="2043582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40" w:lineRule="exact"/>
        <w:ind w:left="0" w:right="0" w:firstLine="640" w:firstLineChars="200"/>
        <w:jc w:val="both"/>
        <w:textAlignment w:val="auto"/>
        <w:rPr>
          <w:rFonts w:hint="eastAsia" w:ascii="Times New Roman" w:hAnsi="Times New Roman" w:eastAsia="仿宋_GB2312"/>
          <w:sz w:val="32"/>
        </w:rPr>
      </w:pPr>
      <w:r>
        <w:rPr>
          <w:rFonts w:hint="eastAsia" w:ascii="Times New Roman" w:hAnsi="Times New Roman" w:eastAsia="仿宋_GB2312"/>
          <w:sz w:val="32"/>
        </w:rPr>
        <w:t>申请人如不服本决定，可以自接到本决定之日起15日内依法向连云港市中级人民法院提起行政诉讼。</w:t>
      </w:r>
    </w:p>
    <w:p w14:paraId="0B69BF9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40" w:lineRule="exact"/>
        <w:ind w:left="0" w:right="0" w:firstLine="640" w:firstLineChars="200"/>
        <w:jc w:val="both"/>
        <w:textAlignment w:val="auto"/>
        <w:rPr>
          <w:rFonts w:hint="eastAsia" w:ascii="Times New Roman" w:hAnsi="Times New Roman" w:eastAsia="仿宋_GB2312"/>
          <w:sz w:val="32"/>
        </w:rPr>
      </w:pPr>
    </w:p>
    <w:p w14:paraId="11AA9A5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40" w:lineRule="exact"/>
        <w:ind w:left="0" w:right="0" w:firstLine="640" w:firstLineChars="200"/>
        <w:jc w:val="both"/>
        <w:textAlignment w:val="auto"/>
        <w:rPr>
          <w:rFonts w:hint="eastAsia" w:ascii="Times New Roman" w:hAnsi="Times New Roman" w:eastAsia="仿宋_GB2312"/>
          <w:sz w:val="32"/>
        </w:rPr>
      </w:pPr>
    </w:p>
    <w:p w14:paraId="2CBEAEF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40" w:lineRule="exact"/>
        <w:ind w:left="0" w:right="0" w:firstLine="640" w:firstLineChars="200"/>
        <w:jc w:val="both"/>
        <w:textAlignment w:val="auto"/>
        <w:rPr>
          <w:rFonts w:hint="eastAsia" w:ascii="Times New Roman" w:hAnsi="Times New Roman" w:eastAsia="仿宋_GB2312"/>
          <w:sz w:val="32"/>
        </w:rPr>
      </w:pPr>
    </w:p>
    <w:p w14:paraId="333CB598">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540" w:lineRule="exact"/>
        <w:ind w:left="0" w:right="0" w:firstLine="640" w:firstLineChars="200"/>
        <w:jc w:val="right"/>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 xml:space="preserve">2025年11月21日        </w:t>
      </w:r>
    </w:p>
    <w:p w14:paraId="542DB1DF">
      <w:pPr>
        <w:rPr>
          <w:rFonts w:hint="eastAsia" w:ascii="Times New Roman" w:hAnsi="Times New Roman" w:eastAsia="仿宋_GB2312" w:cstheme="minorBidi"/>
          <w:kern w:val="2"/>
          <w:sz w:val="32"/>
          <w:szCs w:val="24"/>
          <w:lang w:val="en-US" w:eastAsia="zh-CN" w:bidi="ar-SA"/>
        </w:rPr>
      </w:pPr>
    </w:p>
    <w:p w14:paraId="2BD01B5A">
      <w:pPr>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br w:type="page"/>
      </w:r>
    </w:p>
    <w:p w14:paraId="6FF9993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附：本决定适用的相关法律依据：</w:t>
      </w:r>
    </w:p>
    <w:p w14:paraId="7C894D1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Courier New"/>
          <w:b/>
          <w:bCs w:val="0"/>
          <w:sz w:val="32"/>
          <w:szCs w:val="21"/>
        </w:rPr>
      </w:pPr>
      <w:r>
        <w:rPr>
          <w:rFonts w:hint="eastAsia" w:ascii="Times New Roman" w:hAnsi="Times New Roman" w:eastAsia="仿宋_GB2312" w:cs="Courier New"/>
          <w:b/>
          <w:bCs w:val="0"/>
          <w:sz w:val="32"/>
          <w:szCs w:val="21"/>
        </w:rPr>
        <w:t>《中华人民共和国行政复议法》</w:t>
      </w:r>
    </w:p>
    <w:p w14:paraId="174EFB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第一条　为了防止和纠正违法的或者不当的行政行为，保护公民、法人和其他组织的合法权益，监督和保障行政机关依法行使职权，发挥行政复议化解行政争议的主渠道作用，推进法治政府建设，根据宪法，制定本法。</w:t>
      </w:r>
    </w:p>
    <w:p w14:paraId="4DE52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第二条　公民、法人或者其他组织认为行政机关的行政行为侵犯其合法权益，向行政复议机关提出行政复议申请，行政复议机关办理行政复议案件，适用本法。</w:t>
      </w:r>
    </w:p>
    <w:p w14:paraId="1E13B3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前款所称行政行为，包括法律、法规、规章授权的组织的行政行为。</w:t>
      </w:r>
    </w:p>
    <w:p w14:paraId="056856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第三十条　行政复议机关收到行政复议申请后，应当在五日内进行审查。对符合下列规定的，行政复议机关应当予以受理：</w:t>
      </w:r>
    </w:p>
    <w:p w14:paraId="2EBC4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（一）有明确的申请人和符合本法规定的被申请人；</w:t>
      </w:r>
    </w:p>
    <w:p w14:paraId="15906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（二）申请人与被申请行政复议的行政行为有利害关系；</w:t>
      </w:r>
    </w:p>
    <w:p w14:paraId="08E8ED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（三）有具体的行政复议请求和理由；</w:t>
      </w:r>
    </w:p>
    <w:p w14:paraId="2C7004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（四）在法定申请期限内提出；</w:t>
      </w:r>
    </w:p>
    <w:p w14:paraId="05BA7D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（五）属于本法规定的行政复议范围；</w:t>
      </w:r>
    </w:p>
    <w:p w14:paraId="6188FD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（六）属于本机关的管辖范围；</w:t>
      </w:r>
    </w:p>
    <w:p w14:paraId="246AF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（七）行政复议机关未受理过该申请人就同一行政行为提出的行政复议申请，并且人民法院未受理过该申请人就同一行政行为提起的行政诉讼。</w:t>
      </w:r>
    </w:p>
    <w:p w14:paraId="71874A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对不符合前款规定的行政复议申请，行政复议机关应当在审查期限内决定不予受理并说明理由；不属于本机关管辖的，还应当在不予受理决定中告知申请人有管辖权的行政复议机关。</w:t>
      </w:r>
    </w:p>
    <w:p w14:paraId="43F473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w:t>
      </w:r>
    </w:p>
    <w:p w14:paraId="22752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第三十三条　行政复议机关受理行政复议申请后，发现该行政复议申请不符合本法第三十条第一款规定的，应当决定驳回申请并说明理由。</w:t>
      </w:r>
    </w:p>
    <w:p w14:paraId="146C04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4CF2D8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2344C8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62B55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4C83B7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oto sans thai">
    <w:panose1 w:val="020B0502040504020204"/>
    <w:charset w:val="00"/>
    <w:family w:val="auto"/>
    <w:pitch w:val="default"/>
    <w:sig w:usb0="81000063" w:usb1="00002000" w:usb2="00000000" w:usb3="00000000" w:csb0="0001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1ABB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DBBA">
                          <w:pPr>
                            <w:pStyle w:val="4"/>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4DBBA">
                    <w:pPr>
                      <w:pStyle w:val="4"/>
                      <w:rPr>
                        <w:rFonts w:hint="default" w:ascii="Times New Roman" w:hAnsi="Times New Roman" w:cs="Times New Roman" w:eastAsiaTheme="minorEastAsia"/>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832E4"/>
    <w:rsid w:val="01CA7FAA"/>
    <w:rsid w:val="065A2046"/>
    <w:rsid w:val="09167B59"/>
    <w:rsid w:val="0A2A37A7"/>
    <w:rsid w:val="0ED80288"/>
    <w:rsid w:val="0F616C89"/>
    <w:rsid w:val="10486083"/>
    <w:rsid w:val="10FF1C35"/>
    <w:rsid w:val="11C52438"/>
    <w:rsid w:val="14702D3A"/>
    <w:rsid w:val="185419D8"/>
    <w:rsid w:val="18615571"/>
    <w:rsid w:val="193C6992"/>
    <w:rsid w:val="19C75DFE"/>
    <w:rsid w:val="1C7D6C93"/>
    <w:rsid w:val="1EAC2522"/>
    <w:rsid w:val="22860B88"/>
    <w:rsid w:val="229451CA"/>
    <w:rsid w:val="229816E8"/>
    <w:rsid w:val="23356F51"/>
    <w:rsid w:val="23EC5AD3"/>
    <w:rsid w:val="24C841E5"/>
    <w:rsid w:val="289933EF"/>
    <w:rsid w:val="29693E94"/>
    <w:rsid w:val="2BD24D5C"/>
    <w:rsid w:val="2C9A1A5C"/>
    <w:rsid w:val="2CC52CEE"/>
    <w:rsid w:val="2E7A6289"/>
    <w:rsid w:val="2FBB380D"/>
    <w:rsid w:val="30C26769"/>
    <w:rsid w:val="3251350A"/>
    <w:rsid w:val="33586275"/>
    <w:rsid w:val="35B244CD"/>
    <w:rsid w:val="36B85B13"/>
    <w:rsid w:val="36CE72EA"/>
    <w:rsid w:val="36EC3DAF"/>
    <w:rsid w:val="37047B80"/>
    <w:rsid w:val="380354B4"/>
    <w:rsid w:val="3A1D539D"/>
    <w:rsid w:val="3A543A3E"/>
    <w:rsid w:val="3B9F0CC3"/>
    <w:rsid w:val="3BD50B7B"/>
    <w:rsid w:val="3BD60810"/>
    <w:rsid w:val="3C2C15A2"/>
    <w:rsid w:val="3C833831"/>
    <w:rsid w:val="3E90786A"/>
    <w:rsid w:val="3EA77654"/>
    <w:rsid w:val="3F7795D9"/>
    <w:rsid w:val="3FCF6A78"/>
    <w:rsid w:val="3FE70B5F"/>
    <w:rsid w:val="400A0FAB"/>
    <w:rsid w:val="405A5D4B"/>
    <w:rsid w:val="43656471"/>
    <w:rsid w:val="43EA335C"/>
    <w:rsid w:val="457F0696"/>
    <w:rsid w:val="47BF212B"/>
    <w:rsid w:val="489D7EC1"/>
    <w:rsid w:val="4A4C4A99"/>
    <w:rsid w:val="4A992A6C"/>
    <w:rsid w:val="4ACA67B7"/>
    <w:rsid w:val="4FC053D7"/>
    <w:rsid w:val="51AC615D"/>
    <w:rsid w:val="530B7BFD"/>
    <w:rsid w:val="530C6CDE"/>
    <w:rsid w:val="54940AFD"/>
    <w:rsid w:val="55242F2D"/>
    <w:rsid w:val="553F298A"/>
    <w:rsid w:val="559006BD"/>
    <w:rsid w:val="55F23971"/>
    <w:rsid w:val="567359ED"/>
    <w:rsid w:val="5A97282E"/>
    <w:rsid w:val="5C3832E4"/>
    <w:rsid w:val="5CF95962"/>
    <w:rsid w:val="5D6B07EC"/>
    <w:rsid w:val="5E510B87"/>
    <w:rsid w:val="5E552A0F"/>
    <w:rsid w:val="5E7EC773"/>
    <w:rsid w:val="601C5B05"/>
    <w:rsid w:val="60EC092C"/>
    <w:rsid w:val="637A2C3D"/>
    <w:rsid w:val="639A4188"/>
    <w:rsid w:val="6440429D"/>
    <w:rsid w:val="65622F6B"/>
    <w:rsid w:val="67BF4762"/>
    <w:rsid w:val="69545323"/>
    <w:rsid w:val="6AB21AFC"/>
    <w:rsid w:val="6B416685"/>
    <w:rsid w:val="6DA847AF"/>
    <w:rsid w:val="6E8D386E"/>
    <w:rsid w:val="6EBD4F8D"/>
    <w:rsid w:val="6F6455D6"/>
    <w:rsid w:val="71E7409F"/>
    <w:rsid w:val="72D046E2"/>
    <w:rsid w:val="72FF7199"/>
    <w:rsid w:val="785B6E8E"/>
    <w:rsid w:val="7D2E7CF5"/>
    <w:rsid w:val="7F731C99"/>
    <w:rsid w:val="7F9A62E6"/>
    <w:rsid w:val="7FF84BC6"/>
    <w:rsid w:val="7FFE0AA4"/>
    <w:rsid w:val="8FAF56A8"/>
    <w:rsid w:val="9ECF2689"/>
    <w:rsid w:val="B9DB19EF"/>
    <w:rsid w:val="BF9F9ABC"/>
    <w:rsid w:val="E2FEFCD2"/>
    <w:rsid w:val="FEBDC89C"/>
    <w:rsid w:val="FF79D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宋体"/>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10"/>
    <w:basedOn w:val="8"/>
    <w:qFormat/>
    <w:uiPriority w:val="0"/>
    <w:rPr>
      <w:rFonts w:hint="default" w:ascii="Times New Roman" w:hAnsi="Times New Roman" w:cs="Times New Roman"/>
    </w:rPr>
  </w:style>
  <w:style w:type="character" w:customStyle="1" w:styleId="10">
    <w:name w:val="15"/>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2767</Words>
  <Characters>2894</Characters>
  <Lines>1</Lines>
  <Paragraphs>1</Paragraphs>
  <TotalTime>11</TotalTime>
  <ScaleCrop>false</ScaleCrop>
  <LinksUpToDate>false</LinksUpToDate>
  <CharactersWithSpaces>2906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2025-08-26T06:41:00Z</dcterms:created>
  <dc:creator>别</dc:creator>
  <cp:lastModifiedBy>董雪</cp:lastModifiedBy>
  <cp:lastPrinted>2025-11-13T17:21:00Z</cp:lastPrinted>
  <dcterms:modified xsi:type="dcterms:W3CDTF">2026-07-07T16:47:01Z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0107339F1ABA51B805BD4C6AEB9B558D_43</vt:lpwstr>
  </property>
  <property fmtid="{D5CDD505-2E9C-101B-9397-08002B2CF9AE}" pid="4" name="KSOTemplateDocerSaveRecord">
    <vt:lpwstr>eyJoZGlkIjoiMmUwZDllOTY2Y2MzN2Q1ZWEyZGY2NDQ4ZGE4NWEwM2YiLCJ1c2VySWQiOiIzMTA4NzE5NDYifQ==</vt:lpwstr>
  </property>
</Properties>
</file>