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ind w:firstLine="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赣榆区工业企业资源集约利用</w:t>
      </w:r>
    </w:p>
    <w:p>
      <w:pPr>
        <w:spacing w:line="540" w:lineRule="exact"/>
        <w:ind w:firstLine="0"/>
        <w:jc w:val="center"/>
        <w:rPr>
          <w:rFonts w:ascii="方正小标宋_GBK" w:hAnsi="方正小标宋_GBK" w:eastAsia="方正小标宋_GBK" w:cs="方正小标宋_GBK"/>
          <w:sz w:val="40"/>
          <w:szCs w:val="40"/>
        </w:rPr>
      </w:pPr>
      <w:r>
        <w:rPr>
          <w:rFonts w:hint="eastAsia" w:ascii="方正小标宋简体" w:hAnsi="方正小标宋简体" w:eastAsia="方正小标宋简体" w:cs="方正小标宋简体"/>
          <w:sz w:val="40"/>
          <w:szCs w:val="40"/>
        </w:rPr>
        <w:t>综合评价实施细则</w:t>
      </w:r>
    </w:p>
    <w:p>
      <w:pPr>
        <w:widowControl/>
        <w:adjustRightInd/>
        <w:spacing w:line="540" w:lineRule="exact"/>
        <w:ind w:firstLine="0"/>
        <w:jc w:val="center"/>
        <w:rPr>
          <w:ins w:id="1" w:author="Administrator" w:date="2022-12-05T09:50:35Z"/>
          <w:rFonts w:hint="eastAsia" w:ascii="楷体_GB2312" w:eastAsia="楷体_GB2312"/>
          <w:sz w:val="32"/>
          <w:szCs w:val="32"/>
          <w:u w:val="none"/>
        </w:rPr>
        <w:pPrChange w:id="0" w:author="Administrator" w:date="2022-12-05T09:50:00Z">
          <w:pPr>
            <w:widowControl/>
            <w:adjustRightInd/>
            <w:spacing w:line="240" w:lineRule="auto"/>
            <w:ind w:firstLine="0"/>
            <w:jc w:val="center"/>
          </w:pPr>
        </w:pPrChange>
      </w:pPr>
      <w:r>
        <w:rPr>
          <w:rFonts w:hint="eastAsia" w:ascii="楷体_GB2312" w:eastAsia="楷体_GB2312"/>
          <w:color w:val="auto"/>
          <w:sz w:val="32"/>
          <w:szCs w:val="32"/>
          <w:u w:val="none"/>
          <w:rPrChange w:id="2" w:author="Administrator" w:date="2022-12-05T09:50:00Z">
            <w:rPr>
              <w:rFonts w:hint="default" w:ascii="Times New Roman" w:eastAsia="仿宋_GB2312"/>
              <w:color w:val="auto"/>
              <w:sz w:val="32"/>
              <w:szCs w:val="32"/>
              <w:u w:val="none"/>
            </w:rPr>
          </w:rPrChange>
        </w:rPr>
        <w:t>（</w:t>
      </w:r>
      <w:r>
        <w:rPr>
          <w:rFonts w:hint="eastAsia" w:ascii="楷体_GB2312" w:eastAsia="楷体_GB2312"/>
          <w:color w:val="auto"/>
          <w:sz w:val="32"/>
          <w:szCs w:val="32"/>
          <w:u w:val="none"/>
          <w:lang w:val="en-US" w:eastAsia="zh-CN"/>
          <w:rPrChange w:id="3" w:author="Administrator" w:date="2022-12-05T09:50:00Z">
            <w:rPr>
              <w:rFonts w:hint="eastAsia" w:ascii="Times New Roman" w:eastAsia="仿宋_GB2312"/>
              <w:color w:val="auto"/>
              <w:sz w:val="32"/>
              <w:szCs w:val="32"/>
              <w:u w:val="none"/>
              <w:lang w:val="en-US" w:eastAsia="zh-CN"/>
            </w:rPr>
          </w:rPrChange>
        </w:rPr>
        <w:t>征求意见</w:t>
      </w:r>
      <w:r>
        <w:rPr>
          <w:rFonts w:hint="eastAsia" w:ascii="楷体_GB2312" w:eastAsia="楷体_GB2312"/>
          <w:color w:val="auto"/>
          <w:sz w:val="32"/>
          <w:szCs w:val="32"/>
          <w:u w:val="none"/>
          <w:rPrChange w:id="4" w:author="Administrator" w:date="2022-12-05T09:50:00Z">
            <w:rPr>
              <w:rFonts w:hint="default" w:ascii="Times New Roman" w:eastAsia="仿宋_GB2312"/>
              <w:color w:val="auto"/>
              <w:sz w:val="32"/>
              <w:szCs w:val="32"/>
              <w:u w:val="none"/>
            </w:rPr>
          </w:rPrChange>
        </w:rPr>
        <w:t>稿）</w:t>
      </w:r>
    </w:p>
    <w:p>
      <w:pPr>
        <w:widowControl/>
        <w:adjustRightInd/>
        <w:spacing w:line="540" w:lineRule="exact"/>
        <w:ind w:firstLine="0"/>
        <w:jc w:val="center"/>
        <w:rPr>
          <w:rFonts w:hint="eastAsia" w:ascii="楷体_GB2312" w:eastAsia="楷体_GB2312"/>
          <w:color w:val="auto"/>
          <w:sz w:val="32"/>
          <w:szCs w:val="32"/>
          <w:u w:val="none"/>
          <w:rPrChange w:id="6" w:author="Administrator" w:date="2022-12-05T09:50:00Z">
            <w:rPr>
              <w:rFonts w:ascii="Times New Roman" w:eastAsia="仿宋_GB2312"/>
              <w:color w:val="auto"/>
              <w:sz w:val="32"/>
              <w:szCs w:val="32"/>
              <w:u w:val="none"/>
            </w:rPr>
          </w:rPrChange>
        </w:rPr>
        <w:pPrChange w:id="5" w:author="Administrator" w:date="2022-12-05T09:50:00Z">
          <w:pPr>
            <w:widowControl/>
            <w:adjustRightInd/>
            <w:spacing w:line="240" w:lineRule="auto"/>
            <w:ind w:firstLine="0"/>
            <w:jc w:val="center"/>
          </w:pPr>
        </w:pPrChange>
      </w:pPr>
    </w:p>
    <w:p>
      <w:pPr>
        <w:pStyle w:val="27"/>
        <w:numPr>
          <w:ilvl w:val="255"/>
          <w:numId w:val="0"/>
        </w:numPr>
        <w:autoSpaceDE w:val="0"/>
        <w:autoSpaceDN w:val="0"/>
        <w:adjustRightInd w:val="0"/>
        <w:spacing w:line="480" w:lineRule="exact"/>
        <w:jc w:val="center"/>
        <w:rPr>
          <w:rFonts w:eastAsia="黑体"/>
          <w:kern w:val="0"/>
        </w:rPr>
      </w:pPr>
      <w:r>
        <w:rPr>
          <w:rFonts w:eastAsia="黑体"/>
          <w:kern w:val="0"/>
        </w:rPr>
        <w:t>第一章总则</w:t>
      </w:r>
    </w:p>
    <w:p>
      <w:pPr>
        <w:adjustRightInd w:val="0"/>
        <w:spacing w:line="480" w:lineRule="exact"/>
        <w:ind w:firstLine="632" w:firstLineChars="200"/>
        <w:rPr>
          <w:rFonts w:ascii="Times New Roman" w:eastAsia="仿宋_GB2312"/>
          <w:kern w:val="2"/>
          <w:szCs w:val="32"/>
        </w:rPr>
      </w:pPr>
    </w:p>
    <w:p>
      <w:pPr>
        <w:widowControl/>
        <w:jc w:val="left"/>
        <w:rPr>
          <w:rFonts w:hint="eastAsia" w:ascii="Times New Roman" w:eastAsia="仿宋_GB2312"/>
          <w:b/>
          <w:bCs/>
          <w:szCs w:val="32"/>
          <w:lang w:eastAsia="zh-CN"/>
        </w:rPr>
      </w:pPr>
      <w:r>
        <w:rPr>
          <w:rFonts w:hint="eastAsia" w:ascii="Times New Roman" w:eastAsia="仿宋_GB2312"/>
          <w:b/>
          <w:bCs/>
          <w:szCs w:val="32"/>
        </w:rPr>
        <w:t>第一条</w:t>
      </w:r>
      <w:r>
        <w:rPr>
          <w:rFonts w:ascii="Times New Roman" w:eastAsia="仿宋_GB2312"/>
          <w:szCs w:val="32"/>
        </w:rPr>
        <w:t>为贯彻市政府关于工业企业资源集约利用工作的决策部署，根据《关于进一步深化工业企业资源集约利用综合评价</w:t>
      </w:r>
      <w:r>
        <w:rPr>
          <w:rFonts w:hint="eastAsia" w:ascii="Times New Roman" w:eastAsia="仿宋_GB2312"/>
          <w:szCs w:val="32"/>
        </w:rPr>
        <w:t>工作</w:t>
      </w:r>
      <w:r>
        <w:rPr>
          <w:rFonts w:ascii="Times New Roman" w:eastAsia="仿宋_GB2312"/>
          <w:szCs w:val="32"/>
        </w:rPr>
        <w:t>实施方案》（</w:t>
      </w:r>
      <w:r>
        <w:rPr>
          <w:rFonts w:hint="eastAsia" w:ascii="Times New Roman" w:eastAsia="仿宋_GB2312"/>
          <w:szCs w:val="32"/>
        </w:rPr>
        <w:t>连政办传</w:t>
      </w:r>
      <w:r>
        <w:rPr>
          <w:rFonts w:ascii="Times New Roman" w:eastAsia="仿宋_GB2312"/>
          <w:szCs w:val="32"/>
        </w:rPr>
        <w:t>〔202</w:t>
      </w:r>
      <w:r>
        <w:rPr>
          <w:rFonts w:hint="eastAsia" w:ascii="Times New Roman" w:eastAsia="仿宋_GB2312"/>
          <w:szCs w:val="32"/>
        </w:rPr>
        <w:t>2</w:t>
      </w:r>
      <w:r>
        <w:rPr>
          <w:rFonts w:ascii="Times New Roman" w:eastAsia="仿宋_GB2312"/>
          <w:szCs w:val="32"/>
        </w:rPr>
        <w:t>〕8</w:t>
      </w:r>
      <w:r>
        <w:rPr>
          <w:rFonts w:hint="eastAsia" w:ascii="Times New Roman" w:eastAsia="仿宋_GB2312"/>
          <w:szCs w:val="32"/>
        </w:rPr>
        <w:t>1</w:t>
      </w:r>
      <w:r>
        <w:rPr>
          <w:rFonts w:ascii="Times New Roman" w:eastAsia="仿宋_GB2312"/>
          <w:szCs w:val="32"/>
        </w:rPr>
        <w:t>号）的</w:t>
      </w:r>
      <w:r>
        <w:rPr>
          <w:rFonts w:hint="eastAsia" w:ascii="Times New Roman" w:eastAsia="仿宋_GB2312"/>
          <w:szCs w:val="32"/>
        </w:rPr>
        <w:t>要求</w:t>
      </w:r>
      <w:r>
        <w:rPr>
          <w:rFonts w:ascii="Times New Roman" w:eastAsia="仿宋_GB2312"/>
          <w:szCs w:val="32"/>
        </w:rPr>
        <w:t>，进一步深化工业企业资源集约利用综合评价</w:t>
      </w:r>
      <w:r>
        <w:rPr>
          <w:rFonts w:hint="eastAsia" w:ascii="Times New Roman" w:eastAsia="仿宋_GB2312"/>
          <w:szCs w:val="32"/>
        </w:rPr>
        <w:t>工作</w:t>
      </w:r>
      <w:r>
        <w:rPr>
          <w:rFonts w:ascii="Times New Roman" w:eastAsia="仿宋_GB2312"/>
          <w:szCs w:val="32"/>
        </w:rPr>
        <w:t>，以“</w:t>
      </w:r>
      <w:r>
        <w:rPr>
          <w:rFonts w:hint="eastAsia" w:ascii="Times New Roman" w:eastAsia="仿宋_GB2312"/>
          <w:szCs w:val="32"/>
        </w:rPr>
        <w:t>发展质效为核心，</w:t>
      </w:r>
      <w:r>
        <w:rPr>
          <w:rFonts w:ascii="Times New Roman" w:eastAsia="仿宋_GB2312"/>
          <w:szCs w:val="32"/>
        </w:rPr>
        <w:t>亩均</w:t>
      </w:r>
      <w:r>
        <w:rPr>
          <w:rFonts w:hint="eastAsia" w:ascii="Times New Roman" w:eastAsia="仿宋_GB2312"/>
          <w:szCs w:val="32"/>
        </w:rPr>
        <w:t>产出</w:t>
      </w:r>
      <w:r>
        <w:rPr>
          <w:rFonts w:ascii="Times New Roman" w:eastAsia="仿宋_GB2312"/>
          <w:szCs w:val="32"/>
        </w:rPr>
        <w:t>论英雄”为导向，</w:t>
      </w:r>
      <w:r>
        <w:rPr>
          <w:rFonts w:ascii="仿宋_GB2312" w:hAnsi="宋体" w:eastAsia="仿宋_GB2312" w:cs="仿宋_GB2312"/>
          <w:color w:val="000000"/>
          <w:sz w:val="31"/>
          <w:szCs w:val="31"/>
        </w:rPr>
        <w:t>坚持</w:t>
      </w:r>
      <w:r>
        <w:rPr>
          <w:rFonts w:ascii="Times New Roman" w:eastAsia="宋体"/>
          <w:color w:val="000000"/>
          <w:sz w:val="31"/>
          <w:szCs w:val="31"/>
        </w:rPr>
        <w:t>“</w:t>
      </w:r>
      <w:r>
        <w:rPr>
          <w:rFonts w:hint="eastAsia" w:ascii="仿宋_GB2312" w:hAnsi="宋体" w:eastAsia="仿宋_GB2312" w:cs="仿宋_GB2312"/>
          <w:color w:val="000000"/>
          <w:sz w:val="31"/>
          <w:szCs w:val="31"/>
        </w:rPr>
        <w:t>正向激励</w:t>
      </w:r>
      <w:r>
        <w:rPr>
          <w:rFonts w:ascii="Times New Roman" w:eastAsia="宋体"/>
          <w:color w:val="000000"/>
          <w:sz w:val="31"/>
          <w:szCs w:val="31"/>
        </w:rPr>
        <w:t>”</w:t>
      </w:r>
      <w:r>
        <w:rPr>
          <w:rFonts w:hint="eastAsia" w:ascii="仿宋_GB2312" w:hAnsi="宋体" w:eastAsia="仿宋_GB2312" w:cs="仿宋_GB2312"/>
          <w:color w:val="000000"/>
          <w:sz w:val="31"/>
          <w:szCs w:val="31"/>
        </w:rPr>
        <w:t>与</w:t>
      </w:r>
      <w:r>
        <w:rPr>
          <w:rFonts w:ascii="Times New Roman" w:eastAsia="宋体"/>
          <w:color w:val="000000"/>
          <w:sz w:val="31"/>
          <w:szCs w:val="31"/>
        </w:rPr>
        <w:t>“</w:t>
      </w:r>
      <w:r>
        <w:rPr>
          <w:rFonts w:hint="eastAsia" w:ascii="仿宋_GB2312" w:hAnsi="宋体" w:eastAsia="仿宋_GB2312" w:cs="仿宋_GB2312"/>
          <w:color w:val="000000"/>
          <w:sz w:val="31"/>
          <w:szCs w:val="31"/>
        </w:rPr>
        <w:t>反向倒逼</w:t>
      </w:r>
      <w:bookmarkStart w:id="0" w:name="_GoBack"/>
      <w:bookmarkEnd w:id="0"/>
      <w:r>
        <w:rPr>
          <w:rFonts w:ascii="Times New Roman" w:eastAsia="宋体"/>
          <w:color w:val="000000"/>
          <w:sz w:val="31"/>
          <w:szCs w:val="31"/>
        </w:rPr>
        <w:t>”</w:t>
      </w:r>
      <w:r>
        <w:rPr>
          <w:rFonts w:hint="eastAsia" w:ascii="仿宋_GB2312" w:hAnsi="宋体" w:eastAsia="仿宋_GB2312" w:cs="仿宋_GB2312"/>
          <w:color w:val="000000"/>
          <w:sz w:val="31"/>
          <w:szCs w:val="31"/>
        </w:rPr>
        <w:t>双重发力，</w:t>
      </w:r>
      <w:r>
        <w:rPr>
          <w:rFonts w:hint="eastAsia" w:ascii="Times New Roman" w:eastAsia="仿宋_GB2312"/>
          <w:szCs w:val="32"/>
        </w:rPr>
        <w:t>引导资源要素向高效益、高产出、高技术、高成长性企业集聚，加快淘汰低端低效落后产能，不断提升产业发展竞争力，</w:t>
      </w:r>
      <w:r>
        <w:rPr>
          <w:rFonts w:ascii="Times New Roman" w:eastAsia="仿宋_GB2312"/>
          <w:szCs w:val="32"/>
        </w:rPr>
        <w:t>结合我</w:t>
      </w:r>
      <w:r>
        <w:rPr>
          <w:rFonts w:hint="eastAsia" w:ascii="Times New Roman" w:eastAsia="仿宋_GB2312"/>
          <w:szCs w:val="32"/>
        </w:rPr>
        <w:t>区</w:t>
      </w:r>
      <w:r>
        <w:rPr>
          <w:rFonts w:ascii="Times New Roman" w:eastAsia="仿宋_GB2312"/>
          <w:szCs w:val="32"/>
        </w:rPr>
        <w:t>实际，在全</w:t>
      </w:r>
      <w:r>
        <w:rPr>
          <w:rFonts w:hint="eastAsia" w:ascii="Times New Roman" w:eastAsia="仿宋_GB2312"/>
          <w:szCs w:val="32"/>
        </w:rPr>
        <w:t>区</w:t>
      </w:r>
      <w:r>
        <w:rPr>
          <w:rFonts w:ascii="Times New Roman" w:eastAsia="仿宋_GB2312"/>
          <w:szCs w:val="32"/>
        </w:rPr>
        <w:t>范围内</w:t>
      </w:r>
      <w:r>
        <w:rPr>
          <w:rFonts w:ascii="仿宋_GB2312" w:hAnsi="宋体" w:eastAsia="仿宋_GB2312" w:cs="仿宋_GB2312"/>
          <w:color w:val="000000"/>
          <w:sz w:val="31"/>
          <w:szCs w:val="31"/>
        </w:rPr>
        <w:t>进一步深化工</w:t>
      </w:r>
      <w:r>
        <w:rPr>
          <w:rFonts w:hint="eastAsia" w:ascii="仿宋_GB2312" w:hAnsi="宋体" w:eastAsia="仿宋_GB2312" w:cs="仿宋_GB2312"/>
          <w:color w:val="000000"/>
          <w:sz w:val="31"/>
          <w:szCs w:val="31"/>
        </w:rPr>
        <w:t>业企业资源集约利用综合评价工作</w:t>
      </w:r>
      <w:r>
        <w:rPr>
          <w:rFonts w:ascii="Times New Roman" w:eastAsia="仿宋_GB2312"/>
          <w:szCs w:val="32"/>
        </w:rPr>
        <w:t>，特</w:t>
      </w:r>
      <w:r>
        <w:rPr>
          <w:rFonts w:hint="eastAsia" w:ascii="Times New Roman" w:eastAsia="仿宋_GB2312"/>
          <w:szCs w:val="32"/>
        </w:rPr>
        <w:t>制定</w:t>
      </w:r>
      <w:r>
        <w:rPr>
          <w:rFonts w:ascii="Times New Roman" w:eastAsia="仿宋_GB2312"/>
          <w:szCs w:val="32"/>
        </w:rPr>
        <w:t>本实施细则。</w:t>
      </w:r>
    </w:p>
    <w:p>
      <w:pPr>
        <w:adjustRightInd w:val="0"/>
        <w:spacing w:line="600" w:lineRule="exact"/>
        <w:ind w:firstLine="632" w:firstLineChars="200"/>
        <w:rPr>
          <w:rFonts w:ascii="Times New Roman" w:eastAsia="仿宋_GB2312"/>
          <w:b/>
          <w:bCs/>
          <w:szCs w:val="32"/>
        </w:rPr>
      </w:pPr>
      <w:r>
        <w:rPr>
          <w:rFonts w:hint="eastAsia" w:ascii="Times New Roman" w:eastAsia="仿宋_GB2312"/>
          <w:b/>
          <w:bCs/>
          <w:szCs w:val="32"/>
        </w:rPr>
        <w:t>第二条</w:t>
      </w:r>
      <w:r>
        <w:rPr>
          <w:rFonts w:ascii="Times New Roman" w:eastAsia="仿宋_GB2312"/>
          <w:szCs w:val="32"/>
        </w:rPr>
        <w:t>本细则综合评价全</w:t>
      </w:r>
      <w:r>
        <w:rPr>
          <w:rFonts w:hint="eastAsia" w:ascii="Times New Roman" w:eastAsia="仿宋_GB2312"/>
          <w:szCs w:val="32"/>
        </w:rPr>
        <w:t>区</w:t>
      </w:r>
      <w:r>
        <w:rPr>
          <w:rFonts w:ascii="Times New Roman" w:eastAsia="仿宋_GB2312"/>
          <w:szCs w:val="32"/>
        </w:rPr>
        <w:t>工业企业在</w:t>
      </w:r>
      <w:r>
        <w:rPr>
          <w:rFonts w:hint="eastAsia" w:ascii="Times New Roman" w:eastAsia="仿宋_GB2312"/>
          <w:szCs w:val="32"/>
        </w:rPr>
        <w:t>质量效益、</w:t>
      </w:r>
      <w:r>
        <w:rPr>
          <w:rFonts w:ascii="Times New Roman" w:eastAsia="仿宋_GB2312"/>
          <w:szCs w:val="32"/>
        </w:rPr>
        <w:t>科技创新、绿色</w:t>
      </w:r>
      <w:r>
        <w:rPr>
          <w:rFonts w:hint="eastAsia" w:ascii="Times New Roman" w:eastAsia="仿宋_GB2312"/>
          <w:szCs w:val="32"/>
        </w:rPr>
        <w:t>安全</w:t>
      </w:r>
      <w:r>
        <w:rPr>
          <w:rFonts w:ascii="Times New Roman" w:eastAsia="仿宋_GB2312"/>
          <w:szCs w:val="32"/>
        </w:rPr>
        <w:t>等方面的综合表现。</w:t>
      </w:r>
    </w:p>
    <w:p>
      <w:pPr>
        <w:spacing w:line="600" w:lineRule="exact"/>
        <w:ind w:firstLine="632" w:firstLineChars="200"/>
        <w:rPr>
          <w:rFonts w:ascii="Times New Roman" w:eastAsia="仿宋_GB2312"/>
          <w:b/>
          <w:bCs/>
          <w:szCs w:val="32"/>
        </w:rPr>
      </w:pPr>
      <w:r>
        <w:rPr>
          <w:rFonts w:hint="eastAsia" w:ascii="Times New Roman" w:eastAsia="仿宋_GB2312"/>
          <w:b/>
          <w:bCs/>
          <w:szCs w:val="32"/>
        </w:rPr>
        <w:t>第三条</w:t>
      </w:r>
      <w:r>
        <w:rPr>
          <w:rFonts w:ascii="Times New Roman" w:eastAsia="仿宋_GB2312"/>
          <w:szCs w:val="32"/>
        </w:rPr>
        <w:t>本细则适用于全</w:t>
      </w:r>
      <w:r>
        <w:rPr>
          <w:rFonts w:hint="eastAsia" w:ascii="Times New Roman" w:eastAsia="仿宋_GB2312"/>
          <w:szCs w:val="32"/>
        </w:rPr>
        <w:t>区</w:t>
      </w:r>
      <w:r>
        <w:rPr>
          <w:rFonts w:ascii="Times New Roman" w:eastAsia="仿宋_GB2312"/>
          <w:szCs w:val="32"/>
        </w:rPr>
        <w:t>工业企业综合评价的指标体系设定、分类评定以及数据采集等。</w:t>
      </w:r>
    </w:p>
    <w:p>
      <w:pPr>
        <w:spacing w:line="600" w:lineRule="exact"/>
        <w:jc w:val="center"/>
        <w:rPr>
          <w:rFonts w:ascii="Times New Roman" w:eastAsia="仿宋_GB2312"/>
          <w:szCs w:val="32"/>
        </w:rPr>
      </w:pPr>
    </w:p>
    <w:p>
      <w:pPr>
        <w:pStyle w:val="27"/>
        <w:spacing w:line="600" w:lineRule="exact"/>
        <w:ind w:firstLine="0" w:firstLineChars="0"/>
        <w:jc w:val="center"/>
        <w:rPr>
          <w:rFonts w:eastAsia="黑体"/>
        </w:rPr>
      </w:pPr>
      <w:r>
        <w:rPr>
          <w:rFonts w:eastAsia="黑体"/>
        </w:rPr>
        <w:t>第二章指标体系</w:t>
      </w:r>
    </w:p>
    <w:p>
      <w:pPr>
        <w:spacing w:line="600" w:lineRule="exact"/>
        <w:rPr>
          <w:rFonts w:ascii="Times New Roman" w:eastAsia="仿宋_GB2312"/>
          <w:szCs w:val="32"/>
        </w:rPr>
      </w:pP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b/>
          <w:bCs/>
          <w:szCs w:val="32"/>
        </w:rPr>
        <w:t>第四条</w:t>
      </w:r>
      <w:r>
        <w:rPr>
          <w:rFonts w:ascii="Times New Roman" w:eastAsia="仿宋_GB2312"/>
          <w:kern w:val="3"/>
          <w:szCs w:val="32"/>
        </w:rPr>
        <w:t>综合评价指标体系坚持科学性、规范性和真实性，根据发展新形势新要求，以提高全要素生产率为导向。</w:t>
      </w:r>
    </w:p>
    <w:p>
      <w:pPr>
        <w:suppressAutoHyphens/>
        <w:spacing w:line="560" w:lineRule="exact"/>
        <w:ind w:firstLine="632" w:firstLineChars="200"/>
        <w:textAlignment w:val="baseline"/>
        <w:rPr>
          <w:rFonts w:ascii="Times New Roman" w:eastAsia="仿宋_GB2312"/>
          <w:kern w:val="3"/>
          <w:szCs w:val="32"/>
        </w:rPr>
      </w:pPr>
      <w:r>
        <w:rPr>
          <w:rFonts w:ascii="Times New Roman" w:eastAsia="仿宋_GB2312"/>
          <w:kern w:val="3"/>
          <w:szCs w:val="32"/>
        </w:rPr>
        <w:t>（一）科学性。通过科学设置评价指标体系和指标权重以及综合素质加分，引导企业树立“亩产论英雄”和“创新论英雄”的发展理念。</w:t>
      </w:r>
    </w:p>
    <w:p>
      <w:pPr>
        <w:suppressAutoHyphens/>
        <w:spacing w:line="560" w:lineRule="exact"/>
        <w:ind w:firstLine="632" w:firstLineChars="200"/>
        <w:textAlignment w:val="baseline"/>
        <w:rPr>
          <w:rFonts w:ascii="Times New Roman" w:eastAsia="仿宋_GB2312"/>
          <w:kern w:val="3"/>
          <w:szCs w:val="32"/>
        </w:rPr>
      </w:pPr>
      <w:r>
        <w:rPr>
          <w:rFonts w:ascii="Times New Roman" w:eastAsia="仿宋_GB2312"/>
          <w:kern w:val="3"/>
          <w:szCs w:val="32"/>
        </w:rPr>
        <w:t>（二）规范性。按照国家和省、市相关部门的规范性定义对综合评价指标进行解释。</w:t>
      </w:r>
    </w:p>
    <w:p>
      <w:pPr>
        <w:suppressAutoHyphens/>
        <w:spacing w:line="560" w:lineRule="exact"/>
        <w:ind w:firstLine="632" w:firstLineChars="200"/>
        <w:textAlignment w:val="baseline"/>
        <w:rPr>
          <w:rFonts w:ascii="Times New Roman" w:eastAsia="仿宋_GB2312"/>
          <w:kern w:val="3"/>
          <w:szCs w:val="32"/>
        </w:rPr>
      </w:pPr>
      <w:r>
        <w:rPr>
          <w:rFonts w:ascii="Times New Roman" w:eastAsia="仿宋_GB2312"/>
          <w:kern w:val="3"/>
          <w:szCs w:val="32"/>
        </w:rPr>
        <w:t>（三）真实性。综合评价指标具有可统计和可验证性，确保评价指标数据真实</w:t>
      </w:r>
      <w:r>
        <w:rPr>
          <w:rFonts w:hint="eastAsia" w:ascii="Times New Roman" w:eastAsia="仿宋_GB2312"/>
          <w:kern w:val="3"/>
          <w:szCs w:val="32"/>
        </w:rPr>
        <w:t>准确</w:t>
      </w:r>
      <w:r>
        <w:rPr>
          <w:rFonts w:ascii="Times New Roman" w:eastAsia="仿宋_GB2312"/>
          <w:kern w:val="3"/>
          <w:szCs w:val="32"/>
        </w:rPr>
        <w:t>。</w:t>
      </w:r>
    </w:p>
    <w:p>
      <w:pPr>
        <w:tabs>
          <w:tab w:val="left" w:pos="0"/>
        </w:tabs>
        <w:spacing w:line="600" w:lineRule="exact"/>
        <w:ind w:firstLine="632" w:firstLineChars="200"/>
        <w:rPr>
          <w:rFonts w:ascii="Times New Roman" w:eastAsia="仿宋_GB2312"/>
          <w:b/>
          <w:bCs/>
          <w:szCs w:val="32"/>
        </w:rPr>
      </w:pPr>
      <w:r>
        <w:rPr>
          <w:rFonts w:hint="eastAsia" w:ascii="Times New Roman" w:eastAsia="仿宋_GB2312"/>
          <w:b/>
          <w:bCs/>
          <w:szCs w:val="32"/>
        </w:rPr>
        <w:t>第五条</w:t>
      </w:r>
      <w:r>
        <w:rPr>
          <w:rFonts w:ascii="Times New Roman" w:eastAsia="仿宋_GB2312"/>
          <w:szCs w:val="32"/>
        </w:rPr>
        <w:t>评价指标及权重设置：</w:t>
      </w:r>
      <w:r>
        <w:rPr>
          <w:rFonts w:hint="eastAsia" w:ascii="Times New Roman" w:eastAsia="仿宋_GB2312"/>
          <w:szCs w:val="32"/>
        </w:rPr>
        <w:t>质量效益</w:t>
      </w:r>
      <w:r>
        <w:rPr>
          <w:rFonts w:ascii="Times New Roman" w:eastAsia="仿宋_GB2312"/>
          <w:szCs w:val="32"/>
        </w:rPr>
        <w:t>指标65分，</w:t>
      </w:r>
      <w:r>
        <w:rPr>
          <w:rFonts w:hint="eastAsia" w:ascii="Times New Roman" w:eastAsia="仿宋_GB2312"/>
          <w:szCs w:val="32"/>
        </w:rPr>
        <w:t>科技</w:t>
      </w:r>
      <w:r>
        <w:rPr>
          <w:rFonts w:ascii="Times New Roman" w:eastAsia="仿宋_GB2312"/>
          <w:szCs w:val="32"/>
        </w:rPr>
        <w:t>创新指标</w:t>
      </w:r>
      <w:r>
        <w:rPr>
          <w:rFonts w:hint="eastAsia" w:ascii="Times New Roman" w:eastAsia="仿宋_GB2312"/>
          <w:szCs w:val="32"/>
        </w:rPr>
        <w:t>2</w:t>
      </w:r>
      <w:r>
        <w:rPr>
          <w:rFonts w:ascii="Times New Roman" w:eastAsia="仿宋_GB2312"/>
          <w:szCs w:val="32"/>
        </w:rPr>
        <w:t>0分，绿色</w:t>
      </w:r>
      <w:r>
        <w:rPr>
          <w:rFonts w:hint="eastAsia" w:ascii="Times New Roman" w:eastAsia="仿宋_GB2312"/>
          <w:szCs w:val="32"/>
        </w:rPr>
        <w:t>安全</w:t>
      </w:r>
      <w:r>
        <w:rPr>
          <w:rFonts w:ascii="Times New Roman" w:eastAsia="仿宋_GB2312"/>
          <w:szCs w:val="32"/>
        </w:rPr>
        <w:t>指标15分。</w:t>
      </w:r>
    </w:p>
    <w:p>
      <w:pPr>
        <w:tabs>
          <w:tab w:val="left" w:pos="0"/>
        </w:tabs>
        <w:spacing w:line="600" w:lineRule="exact"/>
        <w:ind w:firstLine="632" w:firstLineChars="200"/>
        <w:rPr>
          <w:rFonts w:ascii="Times New Roman" w:eastAsia="仿宋_GB2312"/>
          <w:b/>
          <w:bCs/>
          <w:szCs w:val="32"/>
        </w:rPr>
      </w:pPr>
      <w:r>
        <w:rPr>
          <w:rFonts w:hint="eastAsia" w:ascii="Times New Roman" w:eastAsia="仿宋_GB2312"/>
          <w:b/>
          <w:bCs/>
          <w:szCs w:val="32"/>
        </w:rPr>
        <w:t>第六条</w:t>
      </w:r>
      <w:r>
        <w:rPr>
          <w:rFonts w:hint="eastAsia" w:ascii="Times New Roman" w:eastAsia="仿宋_GB2312"/>
          <w:szCs w:val="32"/>
        </w:rPr>
        <w:t>质量效益</w:t>
      </w:r>
      <w:r>
        <w:rPr>
          <w:rFonts w:ascii="Times New Roman" w:eastAsia="仿宋_GB2312"/>
          <w:szCs w:val="32"/>
        </w:rPr>
        <w:t>指标65分，主要评价企业资源集约利用水平。其中：亩均税收</w:t>
      </w:r>
      <w:r>
        <w:rPr>
          <w:rFonts w:hint="eastAsia" w:ascii="Times New Roman" w:eastAsia="仿宋_GB2312"/>
          <w:szCs w:val="32"/>
        </w:rPr>
        <w:t>3</w:t>
      </w:r>
      <w:r>
        <w:rPr>
          <w:rFonts w:ascii="Times New Roman" w:eastAsia="仿宋_GB2312"/>
          <w:szCs w:val="32"/>
        </w:rPr>
        <w:t>5分，亩均</w:t>
      </w:r>
      <w:r>
        <w:rPr>
          <w:rFonts w:hint="eastAsia" w:ascii="Times New Roman" w:eastAsia="仿宋_GB2312"/>
          <w:szCs w:val="32"/>
        </w:rPr>
        <w:t>销售收入30</w:t>
      </w:r>
      <w:r>
        <w:rPr>
          <w:rFonts w:ascii="Times New Roman" w:eastAsia="仿宋_GB2312"/>
          <w:szCs w:val="32"/>
        </w:rPr>
        <w:t>分。</w:t>
      </w:r>
    </w:p>
    <w:p>
      <w:pPr>
        <w:tabs>
          <w:tab w:val="left" w:pos="0"/>
        </w:tabs>
        <w:spacing w:line="600" w:lineRule="exact"/>
        <w:ind w:firstLine="632" w:firstLineChars="200"/>
        <w:rPr>
          <w:rFonts w:ascii="Times New Roman" w:eastAsia="仿宋_GB2312"/>
          <w:b/>
          <w:bCs/>
          <w:szCs w:val="32"/>
        </w:rPr>
      </w:pPr>
      <w:r>
        <w:rPr>
          <w:rFonts w:hint="eastAsia" w:ascii="Times New Roman" w:eastAsia="仿宋_GB2312"/>
          <w:b/>
          <w:bCs/>
          <w:szCs w:val="32"/>
        </w:rPr>
        <w:t>第七条</w:t>
      </w:r>
      <w:r>
        <w:rPr>
          <w:rFonts w:hint="eastAsia" w:ascii="Times New Roman" w:eastAsia="仿宋_GB2312"/>
          <w:szCs w:val="32"/>
        </w:rPr>
        <w:t>科技</w:t>
      </w:r>
      <w:r>
        <w:rPr>
          <w:rFonts w:ascii="Times New Roman" w:eastAsia="仿宋_GB2312"/>
          <w:szCs w:val="32"/>
        </w:rPr>
        <w:t>创新指标</w:t>
      </w:r>
      <w:r>
        <w:rPr>
          <w:rFonts w:hint="eastAsia" w:ascii="Times New Roman" w:eastAsia="仿宋_GB2312"/>
          <w:szCs w:val="32"/>
        </w:rPr>
        <w:t>2</w:t>
      </w:r>
      <w:r>
        <w:rPr>
          <w:rFonts w:ascii="Times New Roman" w:eastAsia="仿宋_GB2312"/>
          <w:szCs w:val="32"/>
        </w:rPr>
        <w:t>0分，主要评价企业科技创新发展水平。</w:t>
      </w:r>
      <w:r>
        <w:rPr>
          <w:rFonts w:hint="eastAsia" w:ascii="Times New Roman" w:eastAsia="仿宋_GB2312"/>
          <w:szCs w:val="32"/>
        </w:rPr>
        <w:t>最高分20分，超过以20分计算。</w:t>
      </w:r>
    </w:p>
    <w:p>
      <w:pPr>
        <w:spacing w:line="600" w:lineRule="exact"/>
        <w:ind w:firstLine="632" w:firstLineChars="200"/>
        <w:jc w:val="left"/>
        <w:rPr>
          <w:rFonts w:ascii="Times New Roman" w:eastAsia="仿宋_GB2312"/>
          <w:szCs w:val="32"/>
        </w:rPr>
      </w:pPr>
      <w:r>
        <w:rPr>
          <w:rFonts w:hint="eastAsia" w:ascii="Times New Roman" w:eastAsia="仿宋_GB2312"/>
          <w:szCs w:val="32"/>
        </w:rPr>
        <w:t>1.企业规模能级。获评中国制造业企业500强、中国民营企业500强、全国制造业单项冠军、国家级专精特新小巨人企业、国家级服务型制造示范企业、国家级工业互联网试点示范（标杆</w:t>
      </w:r>
    </w:p>
    <w:p>
      <w:pPr>
        <w:snapToGrid/>
        <w:spacing w:line="579" w:lineRule="exact"/>
        <w:ind w:firstLine="0"/>
        <w:jc w:val="left"/>
        <w:rPr>
          <w:rFonts w:ascii="Times New Roman" w:eastAsia="仿宋_GB2312"/>
          <w:szCs w:val="32"/>
        </w:rPr>
      </w:pPr>
      <w:r>
        <w:rPr>
          <w:rFonts w:hint="eastAsia" w:ascii="Times New Roman" w:eastAsia="仿宋_GB2312"/>
          <w:szCs w:val="32"/>
        </w:rPr>
        <w:t>工厂）、“5G+工业互联网”应用项目企业、智能工厂（车间）5星级上云企业，每个得3分；省级专精特新小巨人企业、省级服务型制造示范企业、工业互联网试点示范（标杆工厂）、“5G+工业互联网”应用项目企业、智能工厂（车间）、4星级上云企业，每个得2分；</w:t>
      </w:r>
      <w:r>
        <w:rPr>
          <w:rFonts w:hint="eastAsia" w:ascii="仿宋_GB2312" w:hAnsi="仿宋_GB2312" w:eastAsia="仿宋_GB2312" w:cs="仿宋_GB2312"/>
          <w:szCs w:val="32"/>
        </w:rPr>
        <w:t>新型研发机构（产业创新中心、技术创新中心、工程研究中心、企业技术中心和新型研发机构，绿色技术技术创新中心、企业技术中心等），</w:t>
      </w:r>
      <w:r>
        <w:rPr>
          <w:rFonts w:hint="eastAsia" w:ascii="Times New Roman" w:eastAsia="仿宋_GB2312"/>
          <w:szCs w:val="32"/>
        </w:rPr>
        <w:t>获国家级得3分、</w:t>
      </w:r>
      <w:r>
        <w:rPr>
          <w:rFonts w:hint="eastAsia" w:ascii="Times New Roman" w:eastAsia="仿宋_GB2312"/>
          <w:szCs w:val="32"/>
          <w:lang w:eastAsia="zh-CN"/>
        </w:rPr>
        <w:t>省级得2分</w:t>
      </w:r>
      <w:r>
        <w:rPr>
          <w:rFonts w:hint="eastAsia" w:ascii="Times New Roman" w:eastAsia="仿宋_GB2312"/>
          <w:szCs w:val="32"/>
        </w:rPr>
        <w:t>、市级得1分。同一事项以最高等级为计分项。</w:t>
      </w:r>
    </w:p>
    <w:p>
      <w:pPr>
        <w:spacing w:line="600" w:lineRule="exact"/>
        <w:ind w:firstLine="632" w:firstLineChars="200"/>
        <w:rPr>
          <w:rFonts w:ascii="Times New Roman" w:eastAsia="仿宋_GB2312"/>
          <w:szCs w:val="32"/>
        </w:rPr>
      </w:pPr>
      <w:r>
        <w:rPr>
          <w:rFonts w:hint="eastAsia" w:ascii="Times New Roman" w:eastAsia="仿宋_GB2312"/>
          <w:szCs w:val="32"/>
        </w:rPr>
        <w:t>2.创新主体培育。承担国家级科技项目，获评（建）国家级各类研发平台、高新技术企业、创新平台和国家级荣誉（牌子），每个得3分；承担省级科技项目，获评（建）省级各类研发平台、创新型领军企业、创新平台和省级荣誉（牌子），每个得2分;承担市级科技项目，获评（建）市级各类研发平台、市高新技术企业培育库企业、创新平台和市级荣誉（牌子），每个得1分，同一事项以最高等级为计分项。</w:t>
      </w:r>
    </w:p>
    <w:p>
      <w:pPr>
        <w:spacing w:line="600" w:lineRule="exact"/>
        <w:ind w:firstLine="632" w:firstLineChars="200"/>
        <w:rPr>
          <w:rFonts w:ascii="Times New Roman" w:eastAsia="仿宋_GB2312"/>
          <w:szCs w:val="32"/>
        </w:rPr>
      </w:pPr>
      <w:r>
        <w:rPr>
          <w:rFonts w:hint="eastAsia" w:ascii="Times New Roman" w:eastAsia="仿宋_GB2312"/>
          <w:szCs w:val="32"/>
        </w:rPr>
        <w:t>3.发明专利。近一年内获得新增授权发明专利的每一个得0.2分，最高不超过5分。</w:t>
      </w:r>
    </w:p>
    <w:p>
      <w:pPr>
        <w:snapToGrid/>
        <w:spacing w:line="579" w:lineRule="exact"/>
        <w:ind w:firstLine="632" w:firstLineChars="200"/>
        <w:rPr>
          <w:rFonts w:ascii="Times New Roman" w:eastAsia="仿宋_GB2312"/>
          <w:szCs w:val="32"/>
        </w:rPr>
      </w:pPr>
      <w:r>
        <w:rPr>
          <w:rFonts w:hint="eastAsia" w:ascii="Times New Roman" w:eastAsia="仿宋_GB2312"/>
          <w:szCs w:val="32"/>
        </w:rPr>
        <w:t>4.</w:t>
      </w:r>
      <w:r>
        <w:rPr>
          <w:rFonts w:hint="eastAsia" w:ascii="仿宋_GB2312" w:hAnsi="仿宋_GB2312" w:eastAsia="仿宋_GB2312" w:cs="仿宋_GB2312"/>
          <w:szCs w:val="32"/>
        </w:rPr>
        <w:t>数字经济发展。数字经济核心产业企业、数字经济创新型领军企业、数字经济新兴产业企业。</w:t>
      </w:r>
      <w:r>
        <w:rPr>
          <w:rFonts w:hint="eastAsia" w:ascii="Times New Roman" w:eastAsia="仿宋_GB2312"/>
          <w:szCs w:val="32"/>
        </w:rPr>
        <w:t>获国家级得3分、</w:t>
      </w:r>
      <w:r>
        <w:rPr>
          <w:rFonts w:hint="eastAsia" w:ascii="Times New Roman" w:eastAsia="仿宋_GB2312"/>
          <w:szCs w:val="32"/>
          <w:lang w:eastAsia="zh-CN"/>
        </w:rPr>
        <w:t>省级得2分</w:t>
      </w:r>
      <w:r>
        <w:rPr>
          <w:rFonts w:hint="eastAsia" w:ascii="Times New Roman" w:eastAsia="仿宋_GB2312"/>
          <w:szCs w:val="32"/>
        </w:rPr>
        <w:t>、市级得1分。同一事项以最高等级为计分项。</w:t>
      </w:r>
    </w:p>
    <w:p>
      <w:pPr>
        <w:tabs>
          <w:tab w:val="left" w:pos="0"/>
        </w:tabs>
        <w:spacing w:line="600" w:lineRule="exact"/>
        <w:ind w:firstLine="632" w:firstLineChars="200"/>
        <w:rPr>
          <w:rFonts w:ascii="Times New Roman" w:eastAsia="仿宋_GB2312"/>
          <w:szCs w:val="32"/>
        </w:rPr>
      </w:pPr>
      <w:r>
        <w:rPr>
          <w:rFonts w:hint="eastAsia" w:ascii="Times New Roman" w:eastAsia="仿宋_GB2312"/>
          <w:b/>
          <w:bCs/>
          <w:szCs w:val="32"/>
        </w:rPr>
        <w:t>第八条</w:t>
      </w:r>
      <w:r>
        <w:rPr>
          <w:rFonts w:ascii="Times New Roman" w:eastAsia="仿宋_GB2312"/>
          <w:szCs w:val="32"/>
        </w:rPr>
        <w:t>绿色</w:t>
      </w:r>
      <w:r>
        <w:rPr>
          <w:rFonts w:hint="eastAsia" w:ascii="Times New Roman" w:eastAsia="仿宋_GB2312"/>
          <w:szCs w:val="32"/>
        </w:rPr>
        <w:t>安全</w:t>
      </w:r>
      <w:r>
        <w:rPr>
          <w:rFonts w:ascii="Times New Roman" w:eastAsia="仿宋_GB2312"/>
          <w:szCs w:val="32"/>
        </w:rPr>
        <w:t>指标</w:t>
      </w:r>
      <w:r>
        <w:rPr>
          <w:rFonts w:hint="eastAsia" w:ascii="Times New Roman" w:eastAsia="仿宋_GB2312"/>
          <w:szCs w:val="32"/>
        </w:rPr>
        <w:t>15</w:t>
      </w:r>
      <w:r>
        <w:rPr>
          <w:rFonts w:ascii="Times New Roman" w:eastAsia="仿宋_GB2312"/>
          <w:szCs w:val="32"/>
        </w:rPr>
        <w:t>分，</w:t>
      </w:r>
      <w:r>
        <w:rPr>
          <w:rFonts w:hint="eastAsia" w:ascii="Times New Roman" w:eastAsia="仿宋_GB2312"/>
          <w:szCs w:val="32"/>
        </w:rPr>
        <w:t>主要评价企业绿色发展和安全生产情况。最高15分，超过以15分计算。</w:t>
      </w:r>
    </w:p>
    <w:p>
      <w:pPr>
        <w:tabs>
          <w:tab w:val="left" w:pos="0"/>
        </w:tabs>
        <w:spacing w:line="600" w:lineRule="exact"/>
        <w:ind w:firstLine="632" w:firstLineChars="200"/>
        <w:rPr>
          <w:rFonts w:ascii="Times New Roman" w:eastAsia="仿宋_GB2312"/>
          <w:szCs w:val="32"/>
        </w:rPr>
      </w:pPr>
      <w:r>
        <w:rPr>
          <w:rFonts w:hint="eastAsia" w:ascii="Times New Roman" w:eastAsia="仿宋_GB2312"/>
          <w:szCs w:val="32"/>
        </w:rPr>
        <w:t>1.单位能耗税收4分。</w:t>
      </w:r>
    </w:p>
    <w:p>
      <w:pPr>
        <w:tabs>
          <w:tab w:val="left" w:pos="0"/>
        </w:tabs>
        <w:spacing w:line="600" w:lineRule="exact"/>
        <w:ind w:firstLine="632" w:firstLineChars="200"/>
        <w:rPr>
          <w:rFonts w:ascii="Times New Roman" w:eastAsia="仿宋_GB2312"/>
          <w:szCs w:val="32"/>
        </w:rPr>
      </w:pPr>
      <w:r>
        <w:rPr>
          <w:rFonts w:hint="eastAsia" w:ascii="Times New Roman" w:eastAsia="仿宋_GB2312"/>
          <w:szCs w:val="32"/>
        </w:rPr>
        <w:t>2.单位能耗销售4分。</w:t>
      </w:r>
    </w:p>
    <w:p>
      <w:pPr>
        <w:tabs>
          <w:tab w:val="left" w:pos="0"/>
        </w:tabs>
        <w:spacing w:line="600" w:lineRule="exact"/>
        <w:ind w:firstLine="632" w:firstLineChars="200"/>
        <w:rPr>
          <w:rFonts w:ascii="Times New Roman" w:eastAsia="仿宋_GB2312"/>
          <w:szCs w:val="32"/>
        </w:rPr>
      </w:pPr>
      <w:r>
        <w:rPr>
          <w:rFonts w:hint="eastAsia" w:ascii="Times New Roman" w:eastAsia="仿宋_GB2312"/>
          <w:szCs w:val="32"/>
        </w:rPr>
        <w:t>3.单位主要污染物税收4分。</w:t>
      </w:r>
    </w:p>
    <w:p>
      <w:pPr>
        <w:tabs>
          <w:tab w:val="left" w:pos="0"/>
        </w:tabs>
        <w:spacing w:line="600" w:lineRule="exact"/>
        <w:ind w:firstLine="632" w:firstLineChars="200"/>
        <w:rPr>
          <w:rFonts w:ascii="Times New Roman" w:eastAsia="仿宋_GB2312"/>
          <w:szCs w:val="32"/>
        </w:rPr>
      </w:pPr>
      <w:r>
        <w:rPr>
          <w:rFonts w:hint="eastAsia" w:ascii="Times New Roman" w:eastAsia="仿宋_GB2312"/>
          <w:szCs w:val="32"/>
        </w:rPr>
        <w:t>4.绿色企业得1分、蓝色企业得0.5分。</w:t>
      </w:r>
    </w:p>
    <w:p>
      <w:pPr>
        <w:snapToGrid/>
        <w:spacing w:line="579" w:lineRule="exact"/>
        <w:ind w:firstLine="632" w:firstLineChars="200"/>
        <w:rPr>
          <w:rFonts w:ascii="Times New Roman" w:eastAsia="仿宋_GB2312"/>
          <w:szCs w:val="32"/>
        </w:rPr>
      </w:pPr>
      <w:r>
        <w:rPr>
          <w:rFonts w:hint="eastAsia" w:ascii="Times New Roman" w:eastAsia="仿宋_GB2312"/>
          <w:szCs w:val="32"/>
        </w:rPr>
        <w:t>5.安全生产标准化通过一级评审得2分，通过二级评审得1分，通过三级评审得0.5分。</w:t>
      </w:r>
    </w:p>
    <w:p>
      <w:pPr>
        <w:snapToGrid/>
        <w:spacing w:line="579" w:lineRule="exact"/>
        <w:ind w:firstLine="632" w:firstLineChars="200"/>
        <w:rPr>
          <w:rFonts w:ascii="Times New Roman" w:eastAsia="仿宋_GB2312"/>
          <w:szCs w:val="32"/>
        </w:rPr>
      </w:pPr>
      <w:r>
        <w:rPr>
          <w:rFonts w:hint="eastAsia" w:ascii="Times New Roman" w:eastAsia="仿宋_GB2312"/>
          <w:szCs w:val="32"/>
        </w:rPr>
        <w:t>6.绿色低碳发展。</w:t>
      </w:r>
      <w:r>
        <w:rPr>
          <w:rFonts w:hint="eastAsia" w:ascii="仿宋_GB2312" w:hAnsi="仿宋_GB2312" w:eastAsia="仿宋_GB2312" w:cs="仿宋_GB2312"/>
          <w:szCs w:val="32"/>
        </w:rPr>
        <w:t>绿色发展领军企业</w:t>
      </w:r>
      <w:r>
        <w:rPr>
          <w:rFonts w:hint="eastAsia" w:ascii="Times New Roman" w:eastAsia="仿宋_GB2312"/>
          <w:szCs w:val="32"/>
        </w:rPr>
        <w:t>（绿色产品、绿色工厂、绿色园区），绿色环保领军企业、绿色供应链管理企业，绿色技术创新类平台，纳入绿色技术推广名录企业。获国家级得3分、</w:t>
      </w:r>
      <w:r>
        <w:rPr>
          <w:rFonts w:hint="eastAsia" w:ascii="Times New Roman" w:eastAsia="仿宋_GB2312"/>
          <w:szCs w:val="32"/>
          <w:lang w:eastAsia="zh-CN"/>
        </w:rPr>
        <w:t>省级得2分</w:t>
      </w:r>
      <w:r>
        <w:rPr>
          <w:rFonts w:hint="eastAsia" w:ascii="Times New Roman" w:eastAsia="仿宋_GB2312"/>
          <w:szCs w:val="32"/>
        </w:rPr>
        <w:t>、市级得1分。同一事项以最高等级为计分项。</w:t>
      </w:r>
    </w:p>
    <w:p>
      <w:pPr>
        <w:pStyle w:val="27"/>
        <w:spacing w:line="600" w:lineRule="exact"/>
        <w:ind w:firstLine="0" w:firstLineChars="0"/>
        <w:rPr>
          <w:rFonts w:eastAsia="黑体"/>
        </w:rPr>
      </w:pPr>
    </w:p>
    <w:p>
      <w:pPr>
        <w:pStyle w:val="27"/>
        <w:spacing w:line="600" w:lineRule="exact"/>
        <w:ind w:firstLine="0" w:firstLineChars="0"/>
        <w:jc w:val="center"/>
        <w:rPr>
          <w:rFonts w:eastAsia="黑体"/>
        </w:rPr>
      </w:pPr>
      <w:r>
        <w:rPr>
          <w:rFonts w:eastAsia="黑体"/>
        </w:rPr>
        <w:t>第三章</w:t>
      </w:r>
      <w:r>
        <w:rPr>
          <w:rFonts w:hint="eastAsia" w:eastAsia="黑体"/>
        </w:rPr>
        <w:t>计分方法</w:t>
      </w:r>
    </w:p>
    <w:p>
      <w:pPr>
        <w:spacing w:line="600" w:lineRule="exact"/>
        <w:rPr>
          <w:rFonts w:ascii="Times New Roman" w:eastAsia="仿宋_GB2312"/>
          <w:szCs w:val="32"/>
        </w:rPr>
      </w:pPr>
    </w:p>
    <w:p>
      <w:pPr>
        <w:suppressAutoHyphens/>
        <w:spacing w:line="560" w:lineRule="exact"/>
        <w:ind w:firstLine="632" w:firstLineChars="200"/>
        <w:textAlignment w:val="baseline"/>
        <w:rPr>
          <w:rFonts w:ascii="Times New Roman" w:eastAsia="仿宋_GB2312"/>
          <w:kern w:val="3"/>
          <w:szCs w:val="32"/>
        </w:rPr>
      </w:pPr>
      <w:r>
        <w:rPr>
          <w:rFonts w:ascii="Times New Roman" w:eastAsia="仿宋_GB2312"/>
          <w:b/>
          <w:bCs/>
          <w:kern w:val="3"/>
          <w:szCs w:val="32"/>
        </w:rPr>
        <w:t>第</w:t>
      </w:r>
      <w:r>
        <w:rPr>
          <w:rFonts w:hint="eastAsia" w:ascii="Times New Roman" w:eastAsia="仿宋_GB2312"/>
          <w:b/>
          <w:bCs/>
          <w:kern w:val="3"/>
          <w:szCs w:val="32"/>
        </w:rPr>
        <w:t>九</w:t>
      </w:r>
      <w:r>
        <w:rPr>
          <w:rFonts w:ascii="Times New Roman" w:eastAsia="仿宋_GB2312"/>
          <w:b/>
          <w:bCs/>
          <w:kern w:val="3"/>
          <w:szCs w:val="32"/>
        </w:rPr>
        <w:t>条</w:t>
      </w:r>
      <w:r>
        <w:rPr>
          <w:rFonts w:hint="eastAsia" w:ascii="Times New Roman" w:eastAsia="仿宋_GB2312"/>
          <w:kern w:val="3"/>
          <w:szCs w:val="32"/>
        </w:rPr>
        <w:t>各</w:t>
      </w:r>
      <w:r>
        <w:rPr>
          <w:rFonts w:ascii="Times New Roman" w:eastAsia="仿宋_GB2312"/>
          <w:kern w:val="3"/>
          <w:szCs w:val="32"/>
        </w:rPr>
        <w:t>单项指标采取“基准值</w:t>
      </w:r>
      <w:r>
        <w:rPr>
          <w:rFonts w:hint="eastAsia" w:ascii="Times New Roman" w:eastAsia="仿宋_GB2312"/>
          <w:kern w:val="3"/>
          <w:szCs w:val="32"/>
        </w:rPr>
        <w:t>法</w:t>
      </w:r>
      <w:r>
        <w:rPr>
          <w:rFonts w:ascii="Times New Roman" w:eastAsia="仿宋_GB2312"/>
          <w:kern w:val="3"/>
          <w:szCs w:val="32"/>
        </w:rPr>
        <w:t>”计分</w:t>
      </w:r>
      <w:r>
        <w:rPr>
          <w:rFonts w:hint="eastAsia" w:ascii="Times New Roman" w:eastAsia="仿宋_GB2312"/>
          <w:kern w:val="3"/>
          <w:szCs w:val="32"/>
        </w:rPr>
        <w:t>，单位主要污染物税收指标基准值按年度最高值确定，其他指标基准值按该项指标评价年度平均值2倍确定，基准值根据发展情况每年进行调整。</w:t>
      </w:r>
    </w:p>
    <w:p>
      <w:pPr>
        <w:suppressAutoHyphens/>
        <w:spacing w:line="560" w:lineRule="exact"/>
        <w:ind w:firstLine="632" w:firstLineChars="200"/>
        <w:textAlignment w:val="baseline"/>
        <w:rPr>
          <w:rFonts w:ascii="Times New Roman" w:eastAsia="仿宋_GB2312"/>
          <w:kern w:val="3"/>
          <w:szCs w:val="32"/>
        </w:rPr>
      </w:pPr>
      <w:r>
        <w:rPr>
          <w:rFonts w:ascii="Times New Roman" w:eastAsia="仿宋_GB2312"/>
          <w:b/>
          <w:bCs/>
          <w:kern w:val="3"/>
          <w:szCs w:val="32"/>
        </w:rPr>
        <w:t>第</w:t>
      </w:r>
      <w:r>
        <w:rPr>
          <w:rFonts w:hint="eastAsia" w:ascii="Times New Roman" w:eastAsia="仿宋_GB2312"/>
          <w:b/>
          <w:bCs/>
          <w:kern w:val="3"/>
          <w:szCs w:val="32"/>
        </w:rPr>
        <w:t>十</w:t>
      </w:r>
      <w:r>
        <w:rPr>
          <w:rFonts w:ascii="Times New Roman" w:eastAsia="仿宋_GB2312"/>
          <w:b/>
          <w:bCs/>
          <w:kern w:val="3"/>
          <w:szCs w:val="32"/>
        </w:rPr>
        <w:t>条</w:t>
      </w:r>
      <w:r>
        <w:rPr>
          <w:rFonts w:hint="eastAsia" w:ascii="Times New Roman" w:eastAsia="仿宋_GB2312"/>
          <w:kern w:val="3"/>
          <w:szCs w:val="32"/>
        </w:rPr>
        <w:t>单项指标得分=指标评价值÷指标基准值×权重分，每项指标最高分不超过该项权重分的1.5倍，最低为零分，某项指标为负数或空缺的，该项得分为零。</w:t>
      </w:r>
      <w:r>
        <w:rPr>
          <w:rFonts w:ascii="Times New Roman" w:eastAsia="仿宋_GB2312"/>
          <w:kern w:val="3"/>
          <w:szCs w:val="32"/>
        </w:rPr>
        <w:t>单位主要污染物税收指标最高得分不超过</w:t>
      </w:r>
      <w:r>
        <w:rPr>
          <w:rFonts w:hint="eastAsia" w:ascii="Times New Roman" w:eastAsia="仿宋_GB2312"/>
          <w:kern w:val="3"/>
          <w:szCs w:val="32"/>
        </w:rPr>
        <w:t>权重</w:t>
      </w:r>
      <w:r>
        <w:rPr>
          <w:rFonts w:ascii="Times New Roman" w:eastAsia="仿宋_GB2312"/>
          <w:kern w:val="3"/>
          <w:szCs w:val="32"/>
        </w:rPr>
        <w:t>分，有主要污染物当量数据的企业，按评价值除以基准值再乘以</w:t>
      </w:r>
      <w:r>
        <w:rPr>
          <w:rFonts w:hint="eastAsia" w:ascii="Times New Roman" w:eastAsia="仿宋_GB2312"/>
          <w:kern w:val="3"/>
          <w:szCs w:val="32"/>
        </w:rPr>
        <w:t>权重</w:t>
      </w:r>
      <w:r>
        <w:rPr>
          <w:rFonts w:ascii="Times New Roman" w:eastAsia="仿宋_GB2312"/>
          <w:kern w:val="3"/>
          <w:szCs w:val="32"/>
        </w:rPr>
        <w:t>分确定，没有主要污染物当量数据的企业，有税收数据的得</w:t>
      </w:r>
      <w:r>
        <w:rPr>
          <w:rFonts w:hint="eastAsia" w:ascii="Times New Roman" w:eastAsia="仿宋_GB2312"/>
          <w:kern w:val="3"/>
          <w:szCs w:val="32"/>
        </w:rPr>
        <w:t>权重</w:t>
      </w:r>
      <w:r>
        <w:rPr>
          <w:rFonts w:ascii="Times New Roman" w:eastAsia="仿宋_GB2312"/>
          <w:kern w:val="3"/>
          <w:szCs w:val="32"/>
        </w:rPr>
        <w:t>分，没有税收数据的得零分。</w:t>
      </w:r>
    </w:p>
    <w:p>
      <w:pPr>
        <w:suppressAutoHyphens/>
        <w:spacing w:line="560" w:lineRule="exact"/>
        <w:ind w:firstLine="632" w:firstLineChars="200"/>
        <w:textAlignment w:val="baseline"/>
        <w:rPr>
          <w:rFonts w:ascii="Times New Roman" w:eastAsia="仿宋_GB2312"/>
          <w:kern w:val="3"/>
          <w:szCs w:val="32"/>
        </w:rPr>
      </w:pPr>
      <w:r>
        <w:rPr>
          <w:rFonts w:ascii="Times New Roman" w:eastAsia="仿宋_GB2312"/>
          <w:b/>
          <w:bCs/>
          <w:kern w:val="3"/>
          <w:szCs w:val="32"/>
        </w:rPr>
        <w:t>第</w:t>
      </w:r>
      <w:r>
        <w:rPr>
          <w:rFonts w:hint="eastAsia" w:ascii="Times New Roman" w:eastAsia="仿宋_GB2312"/>
          <w:b/>
          <w:bCs/>
          <w:kern w:val="3"/>
          <w:szCs w:val="32"/>
        </w:rPr>
        <w:t>十一</w:t>
      </w:r>
      <w:r>
        <w:rPr>
          <w:rFonts w:ascii="Times New Roman" w:eastAsia="仿宋_GB2312"/>
          <w:b/>
          <w:bCs/>
          <w:kern w:val="3"/>
          <w:szCs w:val="32"/>
        </w:rPr>
        <w:t>条</w:t>
      </w:r>
      <w:r>
        <w:rPr>
          <w:rFonts w:hint="eastAsia" w:ascii="Times New Roman" w:eastAsia="仿宋_GB2312"/>
          <w:kern w:val="3"/>
          <w:szCs w:val="32"/>
        </w:rPr>
        <w:t>企业综合评价得分=质量效益指标得分+科技创新指标得分+绿色安全指标得分。</w:t>
      </w:r>
    </w:p>
    <w:p>
      <w:pPr>
        <w:suppressAutoHyphens/>
        <w:spacing w:line="560" w:lineRule="exact"/>
        <w:ind w:firstLine="632" w:firstLineChars="200"/>
        <w:textAlignment w:val="baseline"/>
        <w:rPr>
          <w:rFonts w:ascii="Times New Roman" w:eastAsia="仿宋_GB2312"/>
          <w:kern w:val="3"/>
          <w:szCs w:val="32"/>
        </w:rPr>
      </w:pPr>
    </w:p>
    <w:p>
      <w:pPr>
        <w:pStyle w:val="27"/>
        <w:spacing w:line="600" w:lineRule="exact"/>
        <w:ind w:firstLine="0" w:firstLineChars="0"/>
        <w:jc w:val="center"/>
        <w:rPr>
          <w:rFonts w:eastAsia="黑体"/>
        </w:rPr>
      </w:pPr>
      <w:r>
        <w:rPr>
          <w:rFonts w:eastAsia="黑体"/>
        </w:rPr>
        <w:t>第</w:t>
      </w:r>
      <w:r>
        <w:rPr>
          <w:rFonts w:hint="eastAsia" w:eastAsia="黑体"/>
        </w:rPr>
        <w:t>四</w:t>
      </w:r>
      <w:r>
        <w:rPr>
          <w:rFonts w:eastAsia="黑体"/>
        </w:rPr>
        <w:t>章评价分类</w:t>
      </w:r>
    </w:p>
    <w:p>
      <w:pPr>
        <w:tabs>
          <w:tab w:val="left" w:pos="0"/>
        </w:tabs>
        <w:spacing w:line="600" w:lineRule="exact"/>
        <w:ind w:firstLine="632" w:firstLineChars="200"/>
        <w:rPr>
          <w:rFonts w:ascii="Times New Roman" w:eastAsia="仿宋_GB2312"/>
          <w:b/>
          <w:bCs/>
          <w:kern w:val="3"/>
          <w:szCs w:val="32"/>
        </w:rPr>
      </w:pPr>
    </w:p>
    <w:p>
      <w:pPr>
        <w:tabs>
          <w:tab w:val="left" w:pos="0"/>
        </w:tabs>
        <w:spacing w:line="600" w:lineRule="exact"/>
        <w:ind w:firstLine="632" w:firstLineChars="200"/>
        <w:rPr>
          <w:rFonts w:ascii="Times New Roman" w:eastAsia="仿宋_GB2312"/>
          <w:szCs w:val="32"/>
        </w:rPr>
      </w:pPr>
      <w:r>
        <w:rPr>
          <w:rFonts w:ascii="Times New Roman" w:eastAsia="仿宋_GB2312"/>
          <w:b/>
          <w:bCs/>
          <w:kern w:val="3"/>
          <w:szCs w:val="32"/>
        </w:rPr>
        <w:t>第</w:t>
      </w:r>
      <w:r>
        <w:rPr>
          <w:rFonts w:hint="eastAsia" w:ascii="Times New Roman" w:eastAsia="仿宋_GB2312"/>
          <w:b/>
          <w:bCs/>
          <w:kern w:val="3"/>
          <w:szCs w:val="32"/>
        </w:rPr>
        <w:t>十二</w:t>
      </w:r>
      <w:r>
        <w:rPr>
          <w:rFonts w:ascii="Times New Roman" w:eastAsia="仿宋_GB2312"/>
          <w:b/>
          <w:bCs/>
          <w:kern w:val="3"/>
          <w:szCs w:val="32"/>
        </w:rPr>
        <w:t>条</w:t>
      </w:r>
      <w:r>
        <w:rPr>
          <w:rFonts w:hint="eastAsia" w:ascii="Times New Roman" w:eastAsia="仿宋_GB2312"/>
          <w:szCs w:val="32"/>
        </w:rPr>
        <w:t>对企业综合评价得分按从高到低排序，排在前10%的为A类（优先发展类），排在10%-70%之间的为</w:t>
      </w:r>
      <w:r>
        <w:rPr>
          <w:rFonts w:hint="eastAsia" w:ascii="Times New Roman" w:eastAsia="仿宋_GB2312"/>
          <w:szCs w:val="32"/>
          <w:lang w:eastAsia="zh-CN"/>
        </w:rPr>
        <w:t>B</w:t>
      </w:r>
      <w:r>
        <w:rPr>
          <w:rFonts w:hint="eastAsia" w:ascii="Times New Roman" w:eastAsia="仿宋_GB2312"/>
          <w:szCs w:val="32"/>
        </w:rPr>
        <w:t>类企业（鼓励提升类），排在70%-95%之间的为C类（监管调控类），排在后5%的为</w:t>
      </w:r>
      <w:r>
        <w:rPr>
          <w:rFonts w:hint="eastAsia" w:ascii="Times New Roman" w:eastAsia="仿宋_GB2312"/>
          <w:szCs w:val="32"/>
          <w:lang w:eastAsia="zh-CN"/>
        </w:rPr>
        <w:t>D</w:t>
      </w:r>
      <w:r>
        <w:rPr>
          <w:rFonts w:hint="eastAsia" w:ascii="Times New Roman" w:eastAsia="仿宋_GB2312"/>
          <w:szCs w:val="32"/>
        </w:rPr>
        <w:t>类（整治淘汰类）。</w:t>
      </w:r>
    </w:p>
    <w:p>
      <w:pPr>
        <w:tabs>
          <w:tab w:val="left" w:pos="0"/>
        </w:tabs>
        <w:spacing w:line="600" w:lineRule="exact"/>
        <w:ind w:firstLine="632" w:firstLineChars="200"/>
        <w:rPr>
          <w:rFonts w:ascii="Times New Roman" w:eastAsia="仿宋_GB2312"/>
          <w:szCs w:val="32"/>
        </w:rPr>
      </w:pPr>
      <w:r>
        <w:rPr>
          <w:rFonts w:ascii="Times New Roman" w:eastAsia="仿宋_GB2312"/>
          <w:b/>
          <w:bCs/>
          <w:kern w:val="3"/>
          <w:szCs w:val="32"/>
        </w:rPr>
        <w:t>第</w:t>
      </w:r>
      <w:r>
        <w:rPr>
          <w:rFonts w:hint="eastAsia" w:ascii="Times New Roman" w:eastAsia="仿宋_GB2312"/>
          <w:b/>
          <w:bCs/>
          <w:kern w:val="3"/>
          <w:szCs w:val="32"/>
        </w:rPr>
        <w:t>十三</w:t>
      </w:r>
      <w:r>
        <w:rPr>
          <w:rFonts w:ascii="Times New Roman" w:eastAsia="仿宋_GB2312"/>
          <w:b/>
          <w:bCs/>
          <w:kern w:val="3"/>
          <w:szCs w:val="32"/>
        </w:rPr>
        <w:t>条</w:t>
      </w:r>
      <w:r>
        <w:rPr>
          <w:rFonts w:hint="eastAsia" w:ascii="Times New Roman" w:eastAsia="仿宋_GB2312"/>
          <w:szCs w:val="32"/>
        </w:rPr>
        <w:t>对效益较差或发生安全环保事故的企业进行惩罚性降档。</w:t>
      </w:r>
    </w:p>
    <w:p>
      <w:pPr>
        <w:tabs>
          <w:tab w:val="left" w:pos="0"/>
        </w:tabs>
        <w:spacing w:line="600" w:lineRule="exact"/>
        <w:ind w:firstLine="632" w:firstLineChars="200"/>
        <w:rPr>
          <w:rFonts w:ascii="Times New Roman" w:eastAsia="仿宋_GB2312"/>
          <w:szCs w:val="32"/>
        </w:rPr>
      </w:pPr>
      <w:r>
        <w:rPr>
          <w:rFonts w:hint="eastAsia" w:ascii="Times New Roman" w:eastAsia="仿宋_GB2312"/>
          <w:szCs w:val="32"/>
        </w:rPr>
        <w:t>（一）得分排在A类比例范围内但亩均税收低于平均值的企业调为</w:t>
      </w:r>
      <w:r>
        <w:rPr>
          <w:rFonts w:hint="eastAsia" w:ascii="Times New Roman" w:eastAsia="仿宋_GB2312"/>
          <w:szCs w:val="32"/>
          <w:lang w:eastAsia="zh-CN"/>
        </w:rPr>
        <w:t>B</w:t>
      </w:r>
      <w:r>
        <w:rPr>
          <w:rFonts w:hint="eastAsia" w:ascii="Times New Roman" w:eastAsia="仿宋_GB2312"/>
          <w:szCs w:val="32"/>
        </w:rPr>
        <w:t>类，亩均税收低于1万元的企业直接调为D类。对“空壳”企业、有持证用地且连续两年以上无销售收入、无实缴税金的“僵尸”企业原则上直接认定为D类企业。</w:t>
      </w:r>
    </w:p>
    <w:p>
      <w:pPr>
        <w:tabs>
          <w:tab w:val="left" w:pos="0"/>
        </w:tabs>
        <w:spacing w:line="600" w:lineRule="exact"/>
        <w:ind w:firstLine="632" w:firstLineChars="200"/>
        <w:rPr>
          <w:rFonts w:ascii="Times New Roman" w:eastAsia="仿宋_GB2312"/>
          <w:szCs w:val="32"/>
        </w:rPr>
      </w:pPr>
      <w:r>
        <w:rPr>
          <w:rFonts w:hint="eastAsia" w:ascii="Times New Roman" w:eastAsia="仿宋_GB2312"/>
          <w:szCs w:val="32"/>
        </w:rPr>
        <w:t>（二）年内发生1起较大突发环境事故、安全生产较大事故或2起一般突发环境事件、安全生产一般事故的下调一类；年内发生重大突发环境事件、安全生产重大等级及以上事故或3起及以上一般突发环境事件、安全生产一般事故时直接调为D类。</w:t>
      </w:r>
    </w:p>
    <w:p>
      <w:pPr>
        <w:tabs>
          <w:tab w:val="left" w:pos="0"/>
        </w:tabs>
        <w:spacing w:line="600" w:lineRule="exact"/>
        <w:ind w:firstLine="632" w:firstLineChars="200"/>
        <w:rPr>
          <w:rFonts w:ascii="Times New Roman" w:eastAsia="仿宋_GB2312"/>
          <w:szCs w:val="32"/>
        </w:rPr>
      </w:pPr>
      <w:r>
        <w:rPr>
          <w:rFonts w:hint="eastAsia" w:ascii="Times New Roman" w:eastAsia="仿宋_GB2312"/>
          <w:szCs w:val="32"/>
        </w:rPr>
        <w:t>（三）被列入国家和省下发的各行业领域“黑名单”，或在市级信用信息平台中有严重失信记录且未经修复的企业，列为</w:t>
      </w:r>
      <w:r>
        <w:rPr>
          <w:rFonts w:hint="eastAsia" w:ascii="Times New Roman" w:eastAsia="仿宋_GB2312"/>
          <w:szCs w:val="32"/>
          <w:lang w:eastAsia="zh-CN"/>
        </w:rPr>
        <w:t>D</w:t>
      </w:r>
      <w:r>
        <w:rPr>
          <w:rFonts w:hint="eastAsia" w:ascii="Times New Roman" w:eastAsia="仿宋_GB2312"/>
          <w:szCs w:val="32"/>
        </w:rPr>
        <w:t>类企业。</w:t>
      </w:r>
    </w:p>
    <w:p>
      <w:pPr>
        <w:widowControl/>
        <w:jc w:val="left"/>
        <w:rPr>
          <w:rFonts w:hint="eastAsia" w:ascii="仿宋_GB2312" w:hAnsi="宋体" w:eastAsia="仿宋_GB2312" w:cs="仿宋_GB2312"/>
          <w:color w:val="auto"/>
          <w:sz w:val="31"/>
          <w:szCs w:val="31"/>
        </w:rPr>
      </w:pPr>
      <w:r>
        <w:rPr>
          <w:rFonts w:ascii="Times New Roman" w:eastAsia="仿宋_GB2312"/>
          <w:b/>
          <w:bCs/>
          <w:kern w:val="3"/>
          <w:szCs w:val="32"/>
        </w:rPr>
        <w:t>第</w:t>
      </w:r>
      <w:r>
        <w:rPr>
          <w:rFonts w:hint="eastAsia" w:ascii="Times New Roman" w:eastAsia="仿宋_GB2312"/>
          <w:b/>
          <w:bCs/>
          <w:kern w:val="3"/>
          <w:szCs w:val="32"/>
        </w:rPr>
        <w:t>十四</w:t>
      </w:r>
      <w:r>
        <w:rPr>
          <w:rFonts w:ascii="Times New Roman" w:eastAsia="仿宋_GB2312"/>
          <w:b/>
          <w:bCs/>
          <w:kern w:val="3"/>
          <w:szCs w:val="32"/>
        </w:rPr>
        <w:t>条</w:t>
      </w:r>
      <w:r>
        <w:rPr>
          <w:rFonts w:ascii="仿宋_GB2312" w:hAnsi="宋体" w:eastAsia="仿宋_GB2312" w:cs="仿宋_GB2312"/>
          <w:color w:val="auto"/>
          <w:sz w:val="31"/>
          <w:szCs w:val="31"/>
        </w:rPr>
        <w:t>当年新投产工业企业和初创期科</w:t>
      </w:r>
      <w:r>
        <w:rPr>
          <w:rFonts w:hint="eastAsia" w:ascii="仿宋_GB2312" w:hAnsi="宋体" w:eastAsia="仿宋_GB2312" w:cs="仿宋_GB2312"/>
          <w:color w:val="auto"/>
          <w:sz w:val="31"/>
          <w:szCs w:val="31"/>
        </w:rPr>
        <w:t>技型工业企业等特殊类型企业，以及水、电、气、垃圾焚烧、污水处理等公用事业类工业企业暂不评价。新供地未满</w:t>
      </w:r>
      <w:r>
        <w:rPr>
          <w:rFonts w:ascii="Times New Roman" w:eastAsia="宋体"/>
          <w:color w:val="auto"/>
          <w:sz w:val="31"/>
          <w:szCs w:val="31"/>
        </w:rPr>
        <w:t>3</w:t>
      </w:r>
      <w:r>
        <w:rPr>
          <w:rFonts w:hint="eastAsia" w:ascii="仿宋_GB2312" w:hAnsi="宋体" w:eastAsia="仿宋_GB2312" w:cs="仿宋_GB2312"/>
          <w:color w:val="auto"/>
          <w:sz w:val="31"/>
          <w:szCs w:val="31"/>
        </w:rPr>
        <w:t>年的工业企业原则上不参与评价，以宗地权利人评价时扣除相应的评价数据。</w:t>
      </w:r>
    </w:p>
    <w:p>
      <w:pPr>
        <w:widowControl/>
        <w:jc w:val="left"/>
        <w:rPr>
          <w:rFonts w:hint="default" w:ascii="仿宋_GB2312" w:hAnsi="宋体" w:eastAsia="仿宋_GB2312" w:cs="仿宋_GB2312"/>
          <w:color w:val="FF0000"/>
          <w:sz w:val="31"/>
          <w:szCs w:val="31"/>
        </w:rPr>
      </w:pPr>
      <w:r>
        <w:rPr>
          <w:rFonts w:ascii="Times New Roman" w:eastAsia="仿宋_GB2312"/>
          <w:b/>
          <w:bCs/>
          <w:color w:val="auto"/>
          <w:kern w:val="3"/>
          <w:szCs w:val="32"/>
        </w:rPr>
        <w:t>第</w:t>
      </w:r>
      <w:r>
        <w:rPr>
          <w:rFonts w:hint="eastAsia" w:ascii="Times New Roman" w:eastAsia="仿宋_GB2312"/>
          <w:b/>
          <w:bCs/>
          <w:color w:val="auto"/>
          <w:kern w:val="3"/>
          <w:szCs w:val="32"/>
        </w:rPr>
        <w:t>十五</w:t>
      </w:r>
      <w:r>
        <w:rPr>
          <w:rFonts w:ascii="Times New Roman" w:eastAsia="仿宋_GB2312"/>
          <w:b/>
          <w:bCs/>
          <w:color w:val="auto"/>
          <w:kern w:val="3"/>
          <w:szCs w:val="32"/>
        </w:rPr>
        <w:t>条</w:t>
      </w:r>
      <w:r>
        <w:rPr>
          <w:rFonts w:hint="eastAsia" w:ascii="仿宋_GB2312" w:hAnsi="宋体" w:eastAsia="仿宋_GB2312" w:cs="仿宋_GB2312"/>
          <w:color w:val="auto"/>
          <w:sz w:val="31"/>
          <w:szCs w:val="31"/>
          <w:lang w:val="en-US" w:eastAsia="zh-CN"/>
        </w:rPr>
        <w:t>其他特殊情况经研究，可不参与评价，或下调一类。</w:t>
      </w:r>
    </w:p>
    <w:p>
      <w:pPr>
        <w:spacing w:line="560" w:lineRule="exact"/>
        <w:ind w:firstLine="0"/>
        <w:rPr>
          <w:rFonts w:ascii="Times New Roman" w:eastAsia="仿宋_GB2312"/>
          <w:szCs w:val="32"/>
        </w:rPr>
      </w:pPr>
    </w:p>
    <w:p>
      <w:pPr>
        <w:spacing w:line="600" w:lineRule="exact"/>
        <w:ind w:firstLine="0"/>
        <w:jc w:val="center"/>
        <w:rPr>
          <w:rFonts w:ascii="Times New Roman" w:eastAsia="黑体"/>
          <w:color w:val="FF0000"/>
          <w:szCs w:val="32"/>
        </w:rPr>
      </w:pPr>
      <w:r>
        <w:rPr>
          <w:rFonts w:ascii="Times New Roman" w:eastAsia="黑体"/>
          <w:szCs w:val="32"/>
        </w:rPr>
        <w:t>第</w:t>
      </w:r>
      <w:r>
        <w:rPr>
          <w:rFonts w:hint="eastAsia" w:ascii="Times New Roman" w:eastAsia="黑体"/>
          <w:szCs w:val="32"/>
        </w:rPr>
        <w:t>五</w:t>
      </w:r>
      <w:r>
        <w:rPr>
          <w:rFonts w:ascii="Times New Roman" w:eastAsia="黑体"/>
          <w:szCs w:val="32"/>
        </w:rPr>
        <w:t>章</w:t>
      </w:r>
      <w:r>
        <w:rPr>
          <w:rFonts w:hint="eastAsia" w:ascii="Times New Roman" w:eastAsia="黑体"/>
          <w:color w:val="000000" w:themeColor="text1"/>
          <w:szCs w:val="32"/>
        </w:rPr>
        <w:t>评价</w:t>
      </w:r>
      <w:r>
        <w:rPr>
          <w:rFonts w:ascii="Times New Roman" w:eastAsia="黑体"/>
          <w:color w:val="000000" w:themeColor="text1"/>
          <w:szCs w:val="32"/>
        </w:rPr>
        <w:t>结果应用</w:t>
      </w:r>
    </w:p>
    <w:p>
      <w:pPr>
        <w:spacing w:line="560" w:lineRule="exact"/>
        <w:ind w:firstLine="0"/>
        <w:rPr>
          <w:rFonts w:ascii="Times New Roman" w:eastAsia="仿宋_GB2312"/>
          <w:szCs w:val="32"/>
        </w:rPr>
      </w:pPr>
    </w:p>
    <w:p>
      <w:pPr>
        <w:widowControl/>
        <w:jc w:val="left"/>
        <w:rPr>
          <w:rFonts w:ascii="Times New Roman" w:eastAsia="仿宋_GB2312"/>
          <w:kern w:val="3"/>
          <w:szCs w:val="32"/>
        </w:rPr>
      </w:pPr>
      <w:r>
        <w:rPr>
          <w:rFonts w:ascii="Times New Roman" w:eastAsia="仿宋_GB2312"/>
          <w:b/>
          <w:bCs/>
          <w:kern w:val="3"/>
          <w:szCs w:val="32"/>
        </w:rPr>
        <w:t>第</w:t>
      </w:r>
      <w:r>
        <w:rPr>
          <w:rFonts w:hint="eastAsia" w:ascii="Times New Roman" w:eastAsia="仿宋_GB2312"/>
          <w:b/>
          <w:bCs/>
          <w:kern w:val="3"/>
          <w:szCs w:val="32"/>
        </w:rPr>
        <w:t>十</w:t>
      </w:r>
      <w:r>
        <w:rPr>
          <w:rFonts w:hint="eastAsia" w:ascii="Times New Roman" w:eastAsia="仿宋_GB2312"/>
          <w:b/>
          <w:bCs/>
          <w:kern w:val="3"/>
          <w:szCs w:val="32"/>
          <w:lang w:val="en-US" w:eastAsia="zh-CN"/>
        </w:rPr>
        <w:t>六</w:t>
      </w:r>
      <w:r>
        <w:rPr>
          <w:rFonts w:ascii="Times New Roman" w:eastAsia="仿宋_GB2312"/>
          <w:b/>
          <w:bCs/>
          <w:kern w:val="3"/>
          <w:szCs w:val="32"/>
        </w:rPr>
        <w:t>条</w:t>
      </w:r>
      <w:r>
        <w:rPr>
          <w:rFonts w:ascii="仿宋_GB2312" w:hAnsi="宋体" w:eastAsia="仿宋_GB2312" w:cs="仿宋_GB2312"/>
          <w:color w:val="000000"/>
          <w:sz w:val="31"/>
          <w:szCs w:val="31"/>
        </w:rPr>
        <w:t>调整产业项目扶持政策。</w:t>
      </w:r>
      <w:r>
        <w:rPr>
          <w:rFonts w:hint="eastAsia" w:ascii="Times New Roman" w:eastAsia="仿宋_GB2312"/>
          <w:kern w:val="3"/>
          <w:szCs w:val="32"/>
        </w:rPr>
        <w:t>在同等条件下，优先推荐A类、</w:t>
      </w:r>
      <w:r>
        <w:rPr>
          <w:rFonts w:hint="eastAsia" w:ascii="Times New Roman" w:eastAsia="仿宋_GB2312"/>
          <w:kern w:val="3"/>
          <w:szCs w:val="32"/>
          <w:lang w:eastAsia="zh-CN"/>
        </w:rPr>
        <w:t>B</w:t>
      </w:r>
      <w:r>
        <w:rPr>
          <w:rFonts w:hint="eastAsia" w:ascii="Times New Roman" w:eastAsia="仿宋_GB2312"/>
          <w:kern w:val="3"/>
          <w:szCs w:val="32"/>
        </w:rPr>
        <w:t>类企业申报国家、省、市涉企专项资金项目。对被评为</w:t>
      </w:r>
      <w:r>
        <w:rPr>
          <w:rFonts w:hint="eastAsia" w:ascii="Times New Roman" w:eastAsia="仿宋_GB2312"/>
          <w:kern w:val="3"/>
          <w:szCs w:val="32"/>
          <w:lang w:eastAsia="zh-CN"/>
        </w:rPr>
        <w:t>D</w:t>
      </w:r>
      <w:r>
        <w:rPr>
          <w:rFonts w:hint="eastAsia" w:ascii="Times New Roman" w:eastAsia="仿宋_GB2312"/>
          <w:kern w:val="3"/>
          <w:szCs w:val="32"/>
        </w:rPr>
        <w:t>类的企业，不向上级部门推荐和报送项目，原则上不享受各类产业扶持资金（淘汰落后产能补助以及节能、环保、安全提升等项目除外）。</w:t>
      </w:r>
    </w:p>
    <w:p>
      <w:pPr>
        <w:widowControl/>
        <w:jc w:val="left"/>
        <w:rPr>
          <w:rFonts w:ascii="Times New Roman" w:eastAsia="仿宋_GB2312"/>
          <w:kern w:val="3"/>
          <w:szCs w:val="32"/>
        </w:rPr>
      </w:pPr>
      <w:r>
        <w:rPr>
          <w:rFonts w:ascii="Times New Roman" w:eastAsia="仿宋_GB2312"/>
          <w:b/>
          <w:bCs/>
          <w:kern w:val="3"/>
          <w:szCs w:val="32"/>
        </w:rPr>
        <w:t>第</w:t>
      </w:r>
      <w:r>
        <w:rPr>
          <w:rFonts w:hint="eastAsia" w:ascii="Times New Roman" w:eastAsia="仿宋_GB2312"/>
          <w:b/>
          <w:bCs/>
          <w:kern w:val="3"/>
          <w:szCs w:val="32"/>
        </w:rPr>
        <w:t>十</w:t>
      </w:r>
      <w:r>
        <w:rPr>
          <w:rFonts w:hint="eastAsia" w:ascii="Times New Roman" w:eastAsia="仿宋_GB2312"/>
          <w:b/>
          <w:bCs/>
          <w:kern w:val="3"/>
          <w:szCs w:val="32"/>
          <w:lang w:val="en-US" w:eastAsia="zh-CN"/>
        </w:rPr>
        <w:t>七</w:t>
      </w:r>
      <w:r>
        <w:rPr>
          <w:rFonts w:ascii="Times New Roman" w:eastAsia="仿宋_GB2312"/>
          <w:b/>
          <w:bCs/>
          <w:kern w:val="3"/>
          <w:szCs w:val="32"/>
        </w:rPr>
        <w:t>条</w:t>
      </w:r>
      <w:r>
        <w:rPr>
          <w:rFonts w:ascii="仿宋_GB2312" w:hAnsi="宋体" w:eastAsia="仿宋_GB2312" w:cs="仿宋_GB2312"/>
          <w:color w:val="000000"/>
          <w:sz w:val="31"/>
          <w:szCs w:val="31"/>
        </w:rPr>
        <w:t>实施水电气价格差别化政策。</w:t>
      </w:r>
      <w:r>
        <w:rPr>
          <w:rFonts w:hint="eastAsia" w:ascii="Times New Roman" w:eastAsia="仿宋_GB2312"/>
          <w:kern w:val="3"/>
          <w:szCs w:val="32"/>
        </w:rPr>
        <w:t>对上一年度被评为</w:t>
      </w:r>
      <w:r>
        <w:rPr>
          <w:rFonts w:hint="eastAsia" w:ascii="Times New Roman" w:eastAsia="仿宋_GB2312"/>
          <w:kern w:val="3"/>
          <w:szCs w:val="32"/>
          <w:lang w:eastAsia="zh-CN"/>
        </w:rPr>
        <w:t>D</w:t>
      </w:r>
      <w:r>
        <w:rPr>
          <w:rFonts w:hint="eastAsia" w:ascii="Times New Roman" w:eastAsia="仿宋_GB2312"/>
          <w:kern w:val="3"/>
          <w:szCs w:val="32"/>
        </w:rPr>
        <w:t>类的企业，下一年度实行销售电价每千瓦时加价0.1元、污水处理费每吨提高0.5元、天然气价格每立方米提高0.15元的政策。对连续被评为</w:t>
      </w:r>
      <w:r>
        <w:rPr>
          <w:rFonts w:hint="eastAsia" w:ascii="Times New Roman" w:eastAsia="仿宋_GB2312"/>
          <w:kern w:val="3"/>
          <w:szCs w:val="32"/>
          <w:lang w:eastAsia="zh-CN"/>
        </w:rPr>
        <w:t>D</w:t>
      </w:r>
      <w:r>
        <w:rPr>
          <w:rFonts w:hint="eastAsia" w:ascii="Times New Roman" w:eastAsia="仿宋_GB2312"/>
          <w:kern w:val="3"/>
          <w:szCs w:val="32"/>
        </w:rPr>
        <w:t>类的企业，水、气价格在原增收价格基础上逐年提高50%，用电价格在原增收价格基础上逐年提高0.1元。水电气价格差别化执行部门建立价格联动机制，当污水处理费、天然气价格、销售电价标准调整时，D类企业加收标准同步调整。在水电气供应紧张时期，优先限制或暂停D类企业，适度压减C类企业。</w:t>
      </w:r>
    </w:p>
    <w:p>
      <w:pPr>
        <w:widowControl/>
        <w:jc w:val="left"/>
        <w:rPr>
          <w:rFonts w:ascii="Times New Roman" w:eastAsia="仿宋_GB2312"/>
          <w:kern w:val="3"/>
          <w:szCs w:val="32"/>
        </w:rPr>
      </w:pPr>
      <w:r>
        <w:rPr>
          <w:rFonts w:ascii="Times New Roman" w:eastAsia="仿宋_GB2312"/>
          <w:b/>
          <w:bCs/>
          <w:kern w:val="3"/>
          <w:szCs w:val="32"/>
        </w:rPr>
        <w:t>第</w:t>
      </w:r>
      <w:r>
        <w:rPr>
          <w:rFonts w:hint="eastAsia" w:ascii="Times New Roman" w:eastAsia="仿宋_GB2312"/>
          <w:b/>
          <w:bCs/>
          <w:kern w:val="3"/>
          <w:szCs w:val="32"/>
        </w:rPr>
        <w:t>十</w:t>
      </w:r>
      <w:r>
        <w:rPr>
          <w:rFonts w:hint="eastAsia" w:ascii="Times New Roman" w:eastAsia="仿宋_GB2312"/>
          <w:b/>
          <w:bCs/>
          <w:kern w:val="3"/>
          <w:szCs w:val="32"/>
          <w:lang w:val="en-US" w:eastAsia="zh-CN"/>
        </w:rPr>
        <w:t>八</w:t>
      </w:r>
      <w:r>
        <w:rPr>
          <w:rFonts w:ascii="Times New Roman" w:eastAsia="仿宋_GB2312"/>
          <w:b/>
          <w:bCs/>
          <w:kern w:val="3"/>
          <w:szCs w:val="32"/>
        </w:rPr>
        <w:t>条</w:t>
      </w:r>
      <w:r>
        <w:rPr>
          <w:rFonts w:ascii="仿宋_GB2312" w:hAnsi="宋体" w:eastAsia="仿宋_GB2312" w:cs="仿宋_GB2312"/>
          <w:color w:val="000000"/>
          <w:sz w:val="31"/>
          <w:szCs w:val="31"/>
        </w:rPr>
        <w:t>推动落实差别化信贷政策。鼓励</w:t>
      </w:r>
      <w:r>
        <w:rPr>
          <w:rFonts w:hint="eastAsia" w:ascii="Times New Roman" w:eastAsia="仿宋_GB2312"/>
          <w:kern w:val="3"/>
          <w:szCs w:val="32"/>
        </w:rPr>
        <w:t>金融机构在信用评级、贷款准入、贷款授信、担保方式和还款方式创新、利率优惠等方面对A、</w:t>
      </w:r>
      <w:r>
        <w:rPr>
          <w:rFonts w:hint="eastAsia" w:ascii="Times New Roman" w:eastAsia="仿宋_GB2312"/>
          <w:kern w:val="3"/>
          <w:szCs w:val="32"/>
          <w:lang w:eastAsia="zh-CN"/>
        </w:rPr>
        <w:t>B</w:t>
      </w:r>
      <w:r>
        <w:rPr>
          <w:rFonts w:hint="eastAsia" w:ascii="Times New Roman" w:eastAsia="仿宋_GB2312"/>
          <w:kern w:val="3"/>
          <w:szCs w:val="32"/>
        </w:rPr>
        <w:t>类企业给予积极支持，适度控制</w:t>
      </w:r>
      <w:r>
        <w:rPr>
          <w:rFonts w:hint="eastAsia" w:ascii="Times New Roman" w:eastAsia="仿宋_GB2312"/>
          <w:kern w:val="3"/>
          <w:szCs w:val="32"/>
          <w:lang w:eastAsia="zh-CN"/>
        </w:rPr>
        <w:t>D</w:t>
      </w:r>
      <w:r>
        <w:rPr>
          <w:rFonts w:hint="eastAsia" w:ascii="Times New Roman" w:eastAsia="仿宋_GB2312"/>
          <w:kern w:val="3"/>
          <w:szCs w:val="32"/>
        </w:rPr>
        <w:t>类企业单纯扩大产能的项目贷款规模，原则上不得使用政府信保基金和产业引导基金。</w:t>
      </w:r>
    </w:p>
    <w:p>
      <w:pPr>
        <w:widowControl/>
        <w:jc w:val="left"/>
        <w:rPr>
          <w:rFonts w:ascii="Times New Roman" w:eastAsia="仿宋_GB2312"/>
          <w:kern w:val="3"/>
          <w:szCs w:val="32"/>
        </w:rPr>
      </w:pPr>
      <w:r>
        <w:rPr>
          <w:rFonts w:ascii="Times New Roman" w:eastAsia="仿宋_GB2312"/>
          <w:b/>
          <w:bCs/>
          <w:kern w:val="3"/>
          <w:szCs w:val="32"/>
        </w:rPr>
        <w:t>第</w:t>
      </w:r>
      <w:r>
        <w:rPr>
          <w:rFonts w:hint="eastAsia" w:ascii="Times New Roman" w:eastAsia="仿宋_GB2312"/>
          <w:b/>
          <w:bCs/>
          <w:kern w:val="3"/>
          <w:szCs w:val="32"/>
        </w:rPr>
        <w:t>十</w:t>
      </w:r>
      <w:r>
        <w:rPr>
          <w:rFonts w:hint="eastAsia" w:ascii="Times New Roman" w:eastAsia="仿宋_GB2312"/>
          <w:b/>
          <w:bCs/>
          <w:kern w:val="3"/>
          <w:szCs w:val="32"/>
          <w:lang w:val="en-US" w:eastAsia="zh-CN"/>
        </w:rPr>
        <w:t>九</w:t>
      </w:r>
      <w:r>
        <w:rPr>
          <w:rFonts w:ascii="Times New Roman" w:eastAsia="仿宋_GB2312"/>
          <w:b/>
          <w:bCs/>
          <w:kern w:val="3"/>
          <w:szCs w:val="32"/>
        </w:rPr>
        <w:t>条</w:t>
      </w:r>
      <w:r>
        <w:rPr>
          <w:rFonts w:ascii="仿宋_GB2312" w:hAnsi="宋体" w:eastAsia="仿宋_GB2312" w:cs="仿宋_GB2312"/>
          <w:color w:val="000000"/>
          <w:sz w:val="31"/>
          <w:szCs w:val="31"/>
        </w:rPr>
        <w:t>提高工业用地节约集约利用水平。</w:t>
      </w:r>
      <w:r>
        <w:rPr>
          <w:rFonts w:hint="eastAsia" w:ascii="Times New Roman" w:eastAsia="仿宋_GB2312"/>
          <w:kern w:val="3"/>
          <w:szCs w:val="32"/>
        </w:rPr>
        <w:t>划定工业用地保障线，大力实施“减量增效”行动，优化工业用地布局，提升工业用地效益。严格落实国家、省建设用地标准，根据项目产业类型、用地特点、生命周期以及投入产出要求等，实行差异化的供地方式。优先保障A类企业扩产用地需求，支持</w:t>
      </w:r>
      <w:r>
        <w:rPr>
          <w:rFonts w:hint="eastAsia" w:ascii="Times New Roman" w:eastAsia="仿宋_GB2312"/>
          <w:kern w:val="3"/>
          <w:szCs w:val="32"/>
          <w:lang w:eastAsia="zh-CN"/>
        </w:rPr>
        <w:t>B</w:t>
      </w:r>
      <w:r>
        <w:rPr>
          <w:rFonts w:hint="eastAsia" w:ascii="Times New Roman" w:eastAsia="仿宋_GB2312"/>
          <w:kern w:val="3"/>
          <w:szCs w:val="32"/>
        </w:rPr>
        <w:t>类企业使用存量用地，探索C、D类企业和保障线外工业用地退出机制，提升土地利用效率和产出效益。</w:t>
      </w:r>
    </w:p>
    <w:p>
      <w:pPr>
        <w:widowControl/>
        <w:rPr>
          <w:rFonts w:ascii="仿宋_GB2312" w:hAnsi="宋体" w:eastAsia="仿宋_GB2312" w:cs="仿宋_GB2312"/>
          <w:color w:val="000000"/>
          <w:sz w:val="31"/>
          <w:szCs w:val="31"/>
        </w:rPr>
      </w:pPr>
      <w:r>
        <w:rPr>
          <w:rFonts w:ascii="Times New Roman" w:eastAsia="仿宋_GB2312"/>
          <w:b/>
          <w:bCs/>
          <w:kern w:val="3"/>
          <w:szCs w:val="32"/>
        </w:rPr>
        <w:t>第</w:t>
      </w:r>
      <w:r>
        <w:rPr>
          <w:rFonts w:hint="eastAsia" w:ascii="Times New Roman" w:eastAsia="仿宋_GB2312"/>
          <w:b/>
          <w:bCs/>
          <w:kern w:val="3"/>
          <w:szCs w:val="32"/>
          <w:lang w:val="en-US" w:eastAsia="zh-CN"/>
        </w:rPr>
        <w:t>二十</w:t>
      </w:r>
      <w:r>
        <w:rPr>
          <w:rFonts w:ascii="Times New Roman" w:eastAsia="仿宋_GB2312"/>
          <w:b/>
          <w:bCs/>
          <w:kern w:val="3"/>
          <w:szCs w:val="32"/>
        </w:rPr>
        <w:t>条</w:t>
      </w:r>
      <w:r>
        <w:rPr>
          <w:rFonts w:ascii="仿宋_GB2312" w:hAnsi="宋体" w:eastAsia="仿宋_GB2312" w:cs="仿宋_GB2312"/>
          <w:color w:val="000000"/>
          <w:sz w:val="31"/>
          <w:szCs w:val="31"/>
        </w:rPr>
        <w:t>优先发展</w:t>
      </w:r>
      <w:r>
        <w:rPr>
          <w:rFonts w:ascii="Times New Roman" w:eastAsia="宋体"/>
          <w:color w:val="000000"/>
          <w:sz w:val="31"/>
          <w:szCs w:val="31"/>
        </w:rPr>
        <w:t>A</w:t>
      </w:r>
      <w:r>
        <w:rPr>
          <w:rFonts w:hint="eastAsia" w:ascii="仿宋_GB2312" w:hAnsi="宋体" w:eastAsia="仿宋_GB2312" w:cs="仿宋_GB2312"/>
          <w:color w:val="000000"/>
          <w:sz w:val="31"/>
          <w:szCs w:val="31"/>
        </w:rPr>
        <w:t>类企业。重点保障</w:t>
      </w:r>
      <w:r>
        <w:rPr>
          <w:rFonts w:ascii="Times New Roman" w:eastAsia="宋体"/>
          <w:color w:val="000000"/>
          <w:sz w:val="31"/>
          <w:szCs w:val="31"/>
        </w:rPr>
        <w:t>A</w:t>
      </w:r>
      <w:r>
        <w:rPr>
          <w:rFonts w:hint="eastAsia" w:ascii="仿宋_GB2312" w:hAnsi="宋体" w:eastAsia="仿宋_GB2312" w:cs="仿宋_GB2312"/>
          <w:color w:val="000000"/>
          <w:sz w:val="31"/>
          <w:szCs w:val="31"/>
        </w:rPr>
        <w:t>类企业资源要素需求，支持其股改上市、并购重组，在政府性评奖评优、试点示范项目申报、重点科技项目攻关、重大创新载体建设、人才引进培养等方面按规定给予倾斜，助力优质企业更好更快发展。</w:t>
      </w:r>
    </w:p>
    <w:p>
      <w:pPr>
        <w:widowControl/>
        <w:jc w:val="left"/>
        <w:rPr>
          <w:color w:val="FF0000"/>
        </w:rPr>
      </w:pPr>
      <w:r>
        <w:rPr>
          <w:rFonts w:ascii="Times New Roman" w:eastAsia="仿宋_GB2312"/>
          <w:b/>
          <w:bCs/>
          <w:kern w:val="3"/>
          <w:szCs w:val="32"/>
        </w:rPr>
        <w:t>第</w:t>
      </w:r>
      <w:r>
        <w:rPr>
          <w:rFonts w:hint="eastAsia" w:ascii="Times New Roman" w:eastAsia="仿宋_GB2312"/>
          <w:b/>
          <w:bCs/>
          <w:kern w:val="3"/>
          <w:szCs w:val="32"/>
        </w:rPr>
        <w:t>二十</w:t>
      </w:r>
      <w:r>
        <w:rPr>
          <w:rFonts w:hint="eastAsia" w:ascii="Times New Roman" w:eastAsia="仿宋_GB2312"/>
          <w:b/>
          <w:bCs/>
          <w:kern w:val="3"/>
          <w:szCs w:val="32"/>
          <w:lang w:val="en-US" w:eastAsia="zh-CN"/>
        </w:rPr>
        <w:t>一</w:t>
      </w:r>
      <w:r>
        <w:rPr>
          <w:rFonts w:ascii="Times New Roman" w:eastAsia="仿宋_GB2312"/>
          <w:b/>
          <w:bCs/>
          <w:kern w:val="3"/>
          <w:szCs w:val="32"/>
        </w:rPr>
        <w:t>条</w:t>
      </w:r>
      <w:r>
        <w:rPr>
          <w:rFonts w:hint="eastAsia" w:ascii="仿宋_GB2312" w:hAnsi="宋体" w:eastAsia="仿宋_GB2312" w:cs="仿宋_GB2312"/>
          <w:color w:val="000000"/>
          <w:sz w:val="31"/>
          <w:szCs w:val="31"/>
        </w:rPr>
        <w:t>鼓励提升</w:t>
      </w:r>
      <w:r>
        <w:rPr>
          <w:rFonts w:hint="eastAsia" w:ascii="Times New Roman" w:eastAsia="宋体"/>
          <w:color w:val="000000"/>
          <w:sz w:val="31"/>
          <w:szCs w:val="31"/>
          <w:lang w:eastAsia="zh-CN"/>
        </w:rPr>
        <w:t>B</w:t>
      </w:r>
      <w:r>
        <w:rPr>
          <w:rFonts w:hint="eastAsia" w:ascii="仿宋_GB2312" w:hAnsi="宋体" w:eastAsia="仿宋_GB2312" w:cs="仿宋_GB2312"/>
          <w:color w:val="000000"/>
          <w:sz w:val="31"/>
          <w:szCs w:val="31"/>
        </w:rPr>
        <w:t>类企业。支持</w:t>
      </w:r>
      <w:r>
        <w:rPr>
          <w:rFonts w:hint="eastAsia" w:ascii="Times New Roman" w:eastAsia="宋体"/>
          <w:color w:val="000000"/>
          <w:sz w:val="31"/>
          <w:szCs w:val="31"/>
          <w:lang w:eastAsia="zh-CN"/>
        </w:rPr>
        <w:t>B</w:t>
      </w:r>
      <w:r>
        <w:rPr>
          <w:rFonts w:hint="eastAsia" w:ascii="仿宋_GB2312" w:hAnsi="宋体" w:eastAsia="仿宋_GB2312" w:cs="仿宋_GB2312"/>
          <w:color w:val="000000"/>
          <w:sz w:val="31"/>
          <w:szCs w:val="31"/>
        </w:rPr>
        <w:t>类企业加快技术创新，在资金信贷、人才引进、品牌建设、技术改造方面给予积极支持，提高发展质量和效益。</w:t>
      </w:r>
    </w:p>
    <w:p>
      <w:pPr>
        <w:widowControl/>
        <w:rPr>
          <w:rFonts w:ascii="仿宋_GB2312" w:hAnsi="宋体" w:eastAsia="仿宋_GB2312" w:cs="仿宋_GB2312"/>
          <w:color w:val="000000"/>
          <w:sz w:val="31"/>
          <w:szCs w:val="31"/>
        </w:rPr>
      </w:pPr>
      <w:r>
        <w:rPr>
          <w:rFonts w:ascii="Times New Roman" w:eastAsia="仿宋_GB2312"/>
          <w:b/>
          <w:bCs/>
          <w:kern w:val="3"/>
          <w:szCs w:val="32"/>
        </w:rPr>
        <w:t>第</w:t>
      </w:r>
      <w:r>
        <w:rPr>
          <w:rFonts w:hint="eastAsia" w:ascii="Times New Roman" w:eastAsia="仿宋_GB2312"/>
          <w:b/>
          <w:bCs/>
          <w:kern w:val="3"/>
          <w:szCs w:val="32"/>
        </w:rPr>
        <w:t>二十</w:t>
      </w:r>
      <w:r>
        <w:rPr>
          <w:rFonts w:hint="eastAsia" w:ascii="Times New Roman" w:eastAsia="仿宋_GB2312"/>
          <w:b/>
          <w:bCs/>
          <w:kern w:val="3"/>
          <w:szCs w:val="32"/>
          <w:lang w:val="en-US" w:eastAsia="zh-CN"/>
        </w:rPr>
        <w:t>二</w:t>
      </w:r>
      <w:r>
        <w:rPr>
          <w:rFonts w:ascii="Times New Roman" w:eastAsia="仿宋_GB2312"/>
          <w:b/>
          <w:bCs/>
          <w:kern w:val="3"/>
          <w:szCs w:val="32"/>
        </w:rPr>
        <w:t>条</w:t>
      </w:r>
      <w:r>
        <w:rPr>
          <w:rFonts w:hint="eastAsia" w:ascii="仿宋_GB2312" w:hAnsi="宋体" w:eastAsia="仿宋_GB2312" w:cs="仿宋_GB2312"/>
          <w:color w:val="000000"/>
          <w:sz w:val="31"/>
          <w:szCs w:val="31"/>
        </w:rPr>
        <w:t>监管调控</w:t>
      </w:r>
      <w:r>
        <w:rPr>
          <w:rFonts w:ascii="Times New Roman" w:eastAsia="宋体"/>
          <w:color w:val="000000"/>
          <w:sz w:val="31"/>
          <w:szCs w:val="31"/>
        </w:rPr>
        <w:t>C</w:t>
      </w:r>
      <w:r>
        <w:rPr>
          <w:rFonts w:hint="eastAsia" w:ascii="仿宋_GB2312" w:hAnsi="宋体" w:eastAsia="仿宋_GB2312" w:cs="仿宋_GB2312"/>
          <w:color w:val="000000"/>
          <w:sz w:val="31"/>
          <w:szCs w:val="31"/>
        </w:rPr>
        <w:t>类企业。指导</w:t>
      </w:r>
      <w:r>
        <w:rPr>
          <w:rFonts w:ascii="Times New Roman" w:eastAsia="宋体"/>
          <w:color w:val="000000"/>
          <w:sz w:val="31"/>
          <w:szCs w:val="31"/>
        </w:rPr>
        <w:t>C</w:t>
      </w:r>
      <w:r>
        <w:rPr>
          <w:rFonts w:hint="eastAsia" w:ascii="仿宋_GB2312" w:hAnsi="宋体" w:eastAsia="仿宋_GB2312" w:cs="仿宋_GB2312"/>
          <w:color w:val="000000"/>
          <w:sz w:val="31"/>
          <w:szCs w:val="31"/>
        </w:rPr>
        <w:t>类企业制定具体提升计划，鼓励企业转产转型，加快实施提档升级、节能减排、清洁生产等技术改造。</w:t>
      </w:r>
    </w:p>
    <w:p>
      <w:pPr>
        <w:widowControl/>
        <w:jc w:val="left"/>
        <w:rPr>
          <w:color w:val="FF0000"/>
        </w:rPr>
      </w:pPr>
      <w:r>
        <w:rPr>
          <w:rFonts w:ascii="Times New Roman" w:eastAsia="仿宋_GB2312"/>
          <w:b/>
          <w:bCs/>
          <w:kern w:val="3"/>
          <w:szCs w:val="32"/>
        </w:rPr>
        <w:t>第</w:t>
      </w:r>
      <w:r>
        <w:rPr>
          <w:rFonts w:hint="eastAsia" w:ascii="Times New Roman" w:eastAsia="仿宋_GB2312"/>
          <w:b/>
          <w:bCs/>
          <w:kern w:val="3"/>
          <w:szCs w:val="32"/>
        </w:rPr>
        <w:t>二十</w:t>
      </w:r>
      <w:r>
        <w:rPr>
          <w:rFonts w:hint="eastAsia" w:ascii="Times New Roman" w:eastAsia="仿宋_GB2312"/>
          <w:b/>
          <w:bCs/>
          <w:kern w:val="3"/>
          <w:szCs w:val="32"/>
          <w:lang w:val="en-US" w:eastAsia="zh-CN"/>
        </w:rPr>
        <w:t>三</w:t>
      </w:r>
      <w:r>
        <w:rPr>
          <w:rFonts w:ascii="Times New Roman" w:eastAsia="仿宋_GB2312"/>
          <w:b/>
          <w:bCs/>
          <w:kern w:val="3"/>
          <w:szCs w:val="32"/>
        </w:rPr>
        <w:t>条</w:t>
      </w:r>
      <w:r>
        <w:rPr>
          <w:rFonts w:hint="eastAsia" w:ascii="仿宋_GB2312" w:hAnsi="宋体" w:eastAsia="仿宋_GB2312" w:cs="仿宋_GB2312"/>
          <w:color w:val="000000"/>
          <w:sz w:val="31"/>
          <w:szCs w:val="31"/>
        </w:rPr>
        <w:t>整治淘汰</w:t>
      </w:r>
      <w:r>
        <w:rPr>
          <w:rFonts w:ascii="Times New Roman" w:eastAsia="宋体"/>
          <w:color w:val="000000"/>
          <w:sz w:val="31"/>
          <w:szCs w:val="31"/>
        </w:rPr>
        <w:t>D</w:t>
      </w:r>
      <w:r>
        <w:rPr>
          <w:rFonts w:hint="eastAsia" w:ascii="仿宋_GB2312" w:hAnsi="宋体" w:eastAsia="仿宋_GB2312" w:cs="仿宋_GB2312"/>
          <w:color w:val="000000"/>
          <w:sz w:val="31"/>
          <w:szCs w:val="31"/>
        </w:rPr>
        <w:t>类企业。建立健全</w:t>
      </w:r>
      <w:r>
        <w:rPr>
          <w:rFonts w:hint="eastAsia" w:ascii="Times New Roman" w:eastAsia="宋体"/>
          <w:color w:val="000000"/>
          <w:sz w:val="31"/>
          <w:szCs w:val="31"/>
          <w:lang w:eastAsia="zh-CN"/>
        </w:rPr>
        <w:t>D</w:t>
      </w:r>
      <w:r>
        <w:rPr>
          <w:rFonts w:hint="eastAsia" w:ascii="仿宋_GB2312" w:hAnsi="宋体" w:eastAsia="仿宋_GB2312" w:cs="仿宋_GB2312"/>
          <w:color w:val="000000"/>
          <w:sz w:val="31"/>
          <w:szCs w:val="31"/>
        </w:rPr>
        <w:t>类企业倒逼机制，加强摸排、分类施策，采取兼并重组、整合入园、异地搬迁、依法关停等方式加快改造处置。对关停企业严格执法检查，加强企业关停后土地资源的处置利用。</w:t>
      </w:r>
    </w:p>
    <w:p>
      <w:pPr>
        <w:suppressAutoHyphens/>
        <w:spacing w:line="560" w:lineRule="exact"/>
        <w:ind w:firstLine="0"/>
        <w:textAlignment w:val="baseline"/>
        <w:rPr>
          <w:rFonts w:ascii="Times New Roman" w:eastAsia="仿宋_GB2312"/>
          <w:b/>
          <w:bCs/>
          <w:kern w:val="3"/>
          <w:szCs w:val="32"/>
        </w:rPr>
      </w:pPr>
    </w:p>
    <w:p>
      <w:pPr>
        <w:spacing w:line="600" w:lineRule="exact"/>
        <w:ind w:firstLine="0"/>
        <w:jc w:val="center"/>
        <w:rPr>
          <w:rFonts w:ascii="Times New Roman" w:eastAsia="黑体"/>
          <w:color w:val="000000" w:themeColor="text1"/>
          <w:szCs w:val="32"/>
        </w:rPr>
      </w:pPr>
      <w:r>
        <w:rPr>
          <w:rFonts w:hint="eastAsia" w:ascii="Times New Roman" w:eastAsia="黑体"/>
          <w:color w:val="000000" w:themeColor="text1"/>
          <w:szCs w:val="32"/>
        </w:rPr>
        <w:t>第六章</w:t>
      </w:r>
      <w:r>
        <w:rPr>
          <w:rFonts w:ascii="Times New Roman" w:eastAsia="黑体"/>
          <w:color w:val="000000" w:themeColor="text1"/>
          <w:szCs w:val="32"/>
        </w:rPr>
        <w:t>组织实施</w:t>
      </w:r>
    </w:p>
    <w:p>
      <w:pPr>
        <w:suppressAutoHyphens/>
        <w:spacing w:line="560" w:lineRule="exact"/>
        <w:ind w:firstLine="0"/>
        <w:textAlignment w:val="baseline"/>
        <w:rPr>
          <w:rFonts w:ascii="Times New Roman" w:eastAsia="仿宋_GB2312"/>
          <w:kern w:val="3"/>
          <w:szCs w:val="32"/>
        </w:rPr>
      </w:pPr>
    </w:p>
    <w:p>
      <w:pPr>
        <w:suppressAutoHyphens/>
        <w:spacing w:line="560" w:lineRule="exact"/>
        <w:ind w:firstLine="632" w:firstLineChars="200"/>
        <w:textAlignment w:val="baseline"/>
        <w:rPr>
          <w:rFonts w:ascii="Times New Roman" w:eastAsia="仿宋_GB2312"/>
          <w:kern w:val="3"/>
          <w:szCs w:val="32"/>
        </w:rPr>
      </w:pPr>
      <w:r>
        <w:rPr>
          <w:rFonts w:ascii="Times New Roman" w:eastAsia="仿宋_GB2312"/>
          <w:b/>
          <w:bCs/>
          <w:kern w:val="3"/>
          <w:szCs w:val="32"/>
        </w:rPr>
        <w:t>第</w:t>
      </w:r>
      <w:r>
        <w:rPr>
          <w:rFonts w:hint="eastAsia" w:ascii="Times New Roman" w:eastAsia="仿宋_GB2312"/>
          <w:b/>
          <w:bCs/>
          <w:kern w:val="3"/>
          <w:szCs w:val="32"/>
        </w:rPr>
        <w:t>二十</w:t>
      </w:r>
      <w:r>
        <w:rPr>
          <w:rFonts w:hint="eastAsia" w:ascii="Times New Roman" w:eastAsia="仿宋_GB2312"/>
          <w:b/>
          <w:bCs/>
          <w:kern w:val="3"/>
          <w:szCs w:val="32"/>
          <w:lang w:val="en-US" w:eastAsia="zh-CN"/>
        </w:rPr>
        <w:t>四</w:t>
      </w:r>
      <w:r>
        <w:rPr>
          <w:rFonts w:ascii="Times New Roman" w:eastAsia="仿宋_GB2312"/>
          <w:b/>
          <w:bCs/>
          <w:kern w:val="3"/>
          <w:szCs w:val="32"/>
        </w:rPr>
        <w:t>条</w:t>
      </w:r>
      <w:r>
        <w:rPr>
          <w:rFonts w:ascii="Times New Roman" w:eastAsia="仿宋_GB2312"/>
          <w:kern w:val="3"/>
          <w:szCs w:val="32"/>
        </w:rPr>
        <w:t>综合评价工作</w:t>
      </w:r>
      <w:r>
        <w:rPr>
          <w:rFonts w:ascii="Times New Roman" w:eastAsia="仿宋_GB2312"/>
          <w:szCs w:val="32"/>
        </w:rPr>
        <w:t>由</w:t>
      </w:r>
      <w:r>
        <w:rPr>
          <w:rFonts w:hint="eastAsia" w:ascii="Times New Roman" w:eastAsia="仿宋_GB2312"/>
          <w:szCs w:val="32"/>
        </w:rPr>
        <w:t>区</w:t>
      </w:r>
      <w:r>
        <w:rPr>
          <w:rFonts w:ascii="Times New Roman" w:eastAsia="仿宋_GB2312"/>
          <w:szCs w:val="32"/>
        </w:rPr>
        <w:t>工业企业资源集约利用工作领导小组办公室</w:t>
      </w:r>
      <w:r>
        <w:rPr>
          <w:rFonts w:hint="eastAsia" w:ascii="Times New Roman" w:eastAsia="仿宋_GB2312"/>
          <w:kern w:val="3"/>
          <w:szCs w:val="32"/>
        </w:rPr>
        <w:t>组织</w:t>
      </w:r>
      <w:r>
        <w:rPr>
          <w:rFonts w:ascii="Times New Roman" w:eastAsia="仿宋_GB2312"/>
          <w:kern w:val="3"/>
          <w:szCs w:val="32"/>
        </w:rPr>
        <w:t>实施</w:t>
      </w:r>
      <w:r>
        <w:rPr>
          <w:rFonts w:hint="eastAsia" w:ascii="Times New Roman" w:eastAsia="仿宋_GB2312"/>
          <w:kern w:val="3"/>
          <w:szCs w:val="32"/>
        </w:rPr>
        <w:t>。</w:t>
      </w:r>
    </w:p>
    <w:p>
      <w:pPr>
        <w:suppressAutoHyphens/>
        <w:spacing w:line="560" w:lineRule="exact"/>
        <w:ind w:firstLine="632" w:firstLineChars="200"/>
        <w:textAlignment w:val="baseline"/>
        <w:rPr>
          <w:rFonts w:ascii="Times New Roman" w:eastAsia="仿宋_GB2312"/>
          <w:kern w:val="3"/>
          <w:szCs w:val="32"/>
        </w:rPr>
      </w:pPr>
      <w:r>
        <w:rPr>
          <w:rFonts w:ascii="Times New Roman" w:eastAsia="仿宋_GB2312"/>
          <w:b/>
          <w:bCs/>
          <w:kern w:val="3"/>
          <w:szCs w:val="32"/>
        </w:rPr>
        <w:t>第</w:t>
      </w:r>
      <w:r>
        <w:rPr>
          <w:rFonts w:hint="eastAsia" w:ascii="Times New Roman" w:eastAsia="仿宋_GB2312"/>
          <w:b/>
          <w:bCs/>
          <w:kern w:val="3"/>
          <w:szCs w:val="32"/>
        </w:rPr>
        <w:t>二十</w:t>
      </w:r>
      <w:r>
        <w:rPr>
          <w:rFonts w:hint="eastAsia" w:ascii="Times New Roman" w:eastAsia="仿宋_GB2312"/>
          <w:b/>
          <w:bCs/>
          <w:kern w:val="3"/>
          <w:szCs w:val="32"/>
          <w:lang w:val="en-US" w:eastAsia="zh-CN"/>
        </w:rPr>
        <w:t>五</w:t>
      </w:r>
      <w:r>
        <w:rPr>
          <w:rFonts w:ascii="Times New Roman" w:eastAsia="仿宋_GB2312"/>
          <w:b/>
          <w:bCs/>
          <w:kern w:val="3"/>
          <w:szCs w:val="32"/>
        </w:rPr>
        <w:t>条</w:t>
      </w:r>
      <w:r>
        <w:rPr>
          <w:rFonts w:ascii="Times New Roman" w:eastAsia="仿宋_GB2312"/>
          <w:kern w:val="3"/>
          <w:szCs w:val="32"/>
        </w:rPr>
        <w:t>综合评价工作每年开展一次，一般在上半年内完成。评价结果反映企业上一年度的资源集约利用综合表现。</w:t>
      </w:r>
    </w:p>
    <w:p>
      <w:pPr>
        <w:suppressAutoHyphens/>
        <w:spacing w:line="560" w:lineRule="exact"/>
        <w:ind w:firstLine="632" w:firstLineChars="200"/>
        <w:textAlignment w:val="baseline"/>
        <w:rPr>
          <w:rFonts w:ascii="Times New Roman" w:eastAsia="仿宋_GB2312"/>
          <w:kern w:val="3"/>
          <w:szCs w:val="32"/>
        </w:rPr>
      </w:pPr>
      <w:r>
        <w:rPr>
          <w:rFonts w:ascii="Times New Roman" w:eastAsia="仿宋_GB2312"/>
          <w:b/>
          <w:bCs/>
          <w:kern w:val="3"/>
          <w:szCs w:val="32"/>
        </w:rPr>
        <w:t>第</w:t>
      </w:r>
      <w:r>
        <w:rPr>
          <w:rFonts w:hint="eastAsia" w:ascii="Times New Roman" w:eastAsia="仿宋_GB2312"/>
          <w:b/>
          <w:bCs/>
          <w:kern w:val="3"/>
          <w:szCs w:val="32"/>
        </w:rPr>
        <w:t>二十</w:t>
      </w:r>
      <w:r>
        <w:rPr>
          <w:rFonts w:hint="eastAsia" w:ascii="Times New Roman" w:eastAsia="仿宋_GB2312"/>
          <w:b/>
          <w:bCs/>
          <w:kern w:val="3"/>
          <w:szCs w:val="32"/>
          <w:lang w:val="en-US" w:eastAsia="zh-CN"/>
        </w:rPr>
        <w:t>六</w:t>
      </w:r>
      <w:r>
        <w:rPr>
          <w:rFonts w:ascii="Times New Roman" w:eastAsia="仿宋_GB2312"/>
          <w:b/>
          <w:bCs/>
          <w:kern w:val="3"/>
          <w:szCs w:val="32"/>
        </w:rPr>
        <w:t>条</w:t>
      </w:r>
      <w:r>
        <w:rPr>
          <w:rFonts w:ascii="Times New Roman" w:eastAsia="仿宋_GB2312"/>
          <w:kern w:val="3"/>
          <w:szCs w:val="32"/>
        </w:rPr>
        <w:t>数据采集、数据核对、评价分类依托市工业企业资源集约利用信息系统进行。</w:t>
      </w: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b/>
          <w:bCs/>
          <w:kern w:val="3"/>
          <w:szCs w:val="32"/>
        </w:rPr>
        <w:t>第二十</w:t>
      </w:r>
      <w:r>
        <w:rPr>
          <w:rFonts w:hint="eastAsia" w:ascii="Times New Roman" w:eastAsia="仿宋_GB2312"/>
          <w:b/>
          <w:bCs/>
          <w:kern w:val="3"/>
          <w:szCs w:val="32"/>
          <w:lang w:val="en-US" w:eastAsia="zh-CN"/>
        </w:rPr>
        <w:t>七</w:t>
      </w:r>
      <w:r>
        <w:rPr>
          <w:rFonts w:hint="eastAsia" w:ascii="Times New Roman" w:eastAsia="仿宋_GB2312"/>
          <w:b/>
          <w:bCs/>
          <w:kern w:val="3"/>
          <w:szCs w:val="32"/>
        </w:rPr>
        <w:t>条</w:t>
      </w:r>
      <w:r>
        <w:rPr>
          <w:rFonts w:hint="eastAsia" w:ascii="Times New Roman" w:eastAsia="仿宋_GB2312"/>
          <w:kern w:val="3"/>
          <w:szCs w:val="32"/>
        </w:rPr>
        <w:t>深化以综合评价工作为基础的资源要素差别化配置政策，加大综合评价结果应用力度，促进企业提质增效，推进工业高质量发展。</w:t>
      </w: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b/>
          <w:bCs/>
          <w:kern w:val="3"/>
          <w:szCs w:val="32"/>
        </w:rPr>
        <w:t>第二十</w:t>
      </w:r>
      <w:r>
        <w:rPr>
          <w:rFonts w:hint="eastAsia" w:ascii="Times New Roman" w:eastAsia="仿宋_GB2312"/>
          <w:b/>
          <w:bCs/>
          <w:kern w:val="3"/>
          <w:szCs w:val="32"/>
          <w:lang w:val="en-US" w:eastAsia="zh-CN"/>
        </w:rPr>
        <w:t>八</w:t>
      </w:r>
      <w:r>
        <w:rPr>
          <w:rFonts w:hint="eastAsia" w:ascii="Times New Roman" w:eastAsia="仿宋_GB2312"/>
          <w:b/>
          <w:bCs/>
          <w:kern w:val="3"/>
          <w:szCs w:val="32"/>
        </w:rPr>
        <w:t>条</w:t>
      </w:r>
      <w:r>
        <w:rPr>
          <w:rFonts w:hint="eastAsia" w:ascii="Times New Roman" w:eastAsia="仿宋_GB2312"/>
          <w:kern w:val="3"/>
          <w:szCs w:val="32"/>
        </w:rPr>
        <w:t>工业企业资源集约利用评价分类结果主要为政府部门制定相关政策提供参考，只通报给本企业，任何部门均不得对外公开发布。</w:t>
      </w:r>
    </w:p>
    <w:p>
      <w:pPr>
        <w:suppressAutoHyphens/>
        <w:spacing w:line="560" w:lineRule="exact"/>
        <w:ind w:firstLine="632" w:firstLineChars="200"/>
        <w:textAlignment w:val="baseline"/>
        <w:rPr>
          <w:rFonts w:ascii="Times New Roman" w:eastAsia="仿宋_GB2312"/>
          <w:kern w:val="3"/>
          <w:szCs w:val="32"/>
        </w:rPr>
      </w:pPr>
    </w:p>
    <w:p>
      <w:pPr>
        <w:suppressAutoHyphens/>
        <w:spacing w:line="560" w:lineRule="exact"/>
        <w:ind w:firstLine="632" w:firstLineChars="200"/>
        <w:textAlignment w:val="baseline"/>
        <w:rPr>
          <w:rFonts w:ascii="Times New Roman" w:eastAsia="仿宋_GB2312"/>
          <w:kern w:val="3"/>
          <w:szCs w:val="32"/>
        </w:rPr>
      </w:pPr>
    </w:p>
    <w:p>
      <w:pPr>
        <w:suppressAutoHyphens/>
        <w:spacing w:line="560" w:lineRule="exact"/>
        <w:ind w:firstLine="0"/>
        <w:jc w:val="center"/>
        <w:textAlignment w:val="baseline"/>
        <w:rPr>
          <w:rFonts w:ascii="Times New Roman" w:eastAsia="仿宋_GB2312"/>
          <w:b/>
          <w:bCs/>
          <w:kern w:val="3"/>
          <w:szCs w:val="32"/>
        </w:rPr>
      </w:pPr>
      <w:r>
        <w:rPr>
          <w:rFonts w:hint="eastAsia" w:ascii="Times New Roman" w:eastAsia="黑体"/>
          <w:color w:val="000000" w:themeColor="text1"/>
          <w:szCs w:val="32"/>
        </w:rPr>
        <w:t>第七章</w:t>
      </w:r>
      <w:r>
        <w:rPr>
          <w:rFonts w:hint="eastAsia" w:ascii="Times New Roman" w:eastAsia="黑体"/>
          <w:b w:val="0"/>
          <w:bCs w:val="0"/>
          <w:color w:val="000000" w:themeColor="text1"/>
          <w:kern w:val="0"/>
          <w:szCs w:val="32"/>
        </w:rPr>
        <w:t>附则</w:t>
      </w:r>
    </w:p>
    <w:p>
      <w:pPr>
        <w:suppressAutoHyphens/>
        <w:spacing w:line="560" w:lineRule="exact"/>
        <w:ind w:firstLine="0"/>
        <w:textAlignment w:val="baseline"/>
        <w:rPr>
          <w:rFonts w:ascii="Times New Roman" w:eastAsia="仿宋_GB2312"/>
          <w:b/>
          <w:bCs/>
          <w:kern w:val="3"/>
          <w:szCs w:val="32"/>
        </w:rPr>
      </w:pP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b/>
          <w:bCs/>
          <w:kern w:val="3"/>
          <w:szCs w:val="32"/>
        </w:rPr>
        <w:t>第二十</w:t>
      </w:r>
      <w:r>
        <w:rPr>
          <w:rFonts w:hint="eastAsia" w:ascii="Times New Roman" w:eastAsia="仿宋_GB2312"/>
          <w:b/>
          <w:bCs/>
          <w:kern w:val="3"/>
          <w:szCs w:val="32"/>
          <w:lang w:val="en-US" w:eastAsia="zh-CN"/>
        </w:rPr>
        <w:t>九</w:t>
      </w:r>
      <w:r>
        <w:rPr>
          <w:rFonts w:hint="eastAsia" w:ascii="Times New Roman" w:eastAsia="仿宋_GB2312"/>
          <w:b/>
          <w:bCs/>
          <w:kern w:val="3"/>
          <w:szCs w:val="32"/>
        </w:rPr>
        <w:t>条</w:t>
      </w:r>
      <w:r>
        <w:rPr>
          <w:rFonts w:ascii="Times New Roman" w:eastAsia="仿宋_GB2312"/>
          <w:kern w:val="3"/>
          <w:szCs w:val="32"/>
        </w:rPr>
        <w:t>本</w:t>
      </w:r>
      <w:r>
        <w:rPr>
          <w:rFonts w:hint="eastAsia" w:ascii="Times New Roman" w:eastAsia="仿宋_GB2312"/>
          <w:kern w:val="3"/>
          <w:szCs w:val="32"/>
        </w:rPr>
        <w:t>实施细则自</w:t>
      </w:r>
      <w:r>
        <w:rPr>
          <w:rFonts w:ascii="Times New Roman" w:eastAsia="仿宋_GB2312"/>
          <w:kern w:val="3"/>
          <w:szCs w:val="32"/>
        </w:rPr>
        <w:t>发布之日起</w:t>
      </w:r>
      <w:r>
        <w:rPr>
          <w:rFonts w:hint="eastAsia" w:ascii="Times New Roman" w:eastAsia="仿宋_GB2312"/>
          <w:kern w:val="3"/>
          <w:szCs w:val="32"/>
        </w:rPr>
        <w:t>实施</w:t>
      </w:r>
      <w:r>
        <w:rPr>
          <w:rFonts w:ascii="Times New Roman" w:eastAsia="仿宋_GB2312"/>
          <w:kern w:val="3"/>
          <w:szCs w:val="32"/>
        </w:rPr>
        <w:t>。</w:t>
      </w: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600" w:lineRule="exact"/>
        <w:ind w:firstLine="620" w:firstLineChars="196"/>
        <w:rPr>
          <w:rFonts w:ascii="Times New Roman" w:eastAsia="仿宋_GB2312"/>
          <w:szCs w:val="32"/>
        </w:rPr>
      </w:pPr>
      <w:r>
        <w:rPr>
          <w:rFonts w:ascii="Times New Roman" w:eastAsia="仿宋_GB2312"/>
          <w:szCs w:val="32"/>
        </w:rPr>
        <w:t>附件：</w:t>
      </w:r>
      <w:r>
        <w:rPr>
          <w:rFonts w:hint="eastAsia" w:ascii="Times New Roman" w:eastAsia="仿宋_GB2312"/>
          <w:szCs w:val="32"/>
        </w:rPr>
        <w:t>1</w:t>
      </w:r>
      <w:r>
        <w:rPr>
          <w:rFonts w:ascii="Times New Roman" w:eastAsia="仿宋_GB2312"/>
          <w:szCs w:val="32"/>
        </w:rPr>
        <w:t>．</w:t>
      </w:r>
      <w:r>
        <w:rPr>
          <w:rFonts w:hint="eastAsia" w:ascii="Times New Roman" w:eastAsia="仿宋_GB2312"/>
          <w:szCs w:val="32"/>
        </w:rPr>
        <w:t>单项指标计算公式中有关指标解释</w:t>
      </w:r>
    </w:p>
    <w:p>
      <w:pPr>
        <w:spacing w:line="600" w:lineRule="exact"/>
        <w:ind w:firstLine="1555" w:firstLineChars="492"/>
        <w:rPr>
          <w:rFonts w:ascii="Times New Roman" w:eastAsia="仿宋_GB2312"/>
          <w:color w:val="auto"/>
          <w:szCs w:val="32"/>
        </w:rPr>
      </w:pPr>
      <w:r>
        <w:rPr>
          <w:rFonts w:hint="eastAsia" w:ascii="Times New Roman" w:eastAsia="仿宋_GB2312"/>
          <w:color w:val="auto"/>
          <w:szCs w:val="32"/>
        </w:rPr>
        <w:t>2</w:t>
      </w:r>
      <w:r>
        <w:rPr>
          <w:rFonts w:ascii="Times New Roman" w:eastAsia="仿宋_GB2312"/>
          <w:color w:val="auto"/>
          <w:szCs w:val="32"/>
        </w:rPr>
        <w:t>．</w:t>
      </w:r>
      <w:r>
        <w:rPr>
          <w:rFonts w:hint="eastAsia" w:ascii="Times New Roman" w:eastAsia="仿宋_GB2312"/>
          <w:color w:val="auto"/>
          <w:szCs w:val="32"/>
        </w:rPr>
        <w:t>单项指标计算公式</w:t>
      </w:r>
    </w:p>
    <w:p>
      <w:pPr>
        <w:spacing w:line="560" w:lineRule="exact"/>
        <w:ind w:firstLine="1561" w:firstLineChars="494"/>
        <w:rPr>
          <w:rFonts w:hint="eastAsia" w:ascii="Times New Roman" w:eastAsia="仿宋_GB2312"/>
          <w:szCs w:val="32"/>
          <w:lang w:eastAsia="zh-CN"/>
        </w:rPr>
      </w:pPr>
      <w:r>
        <w:rPr>
          <w:rFonts w:hint="eastAsia" w:ascii="Times New Roman" w:eastAsia="仿宋_GB2312"/>
          <w:szCs w:val="32"/>
        </w:rPr>
        <w:t>3</w:t>
      </w:r>
      <w:r>
        <w:rPr>
          <w:rFonts w:ascii="Times New Roman" w:eastAsia="仿宋_GB2312"/>
          <w:szCs w:val="32"/>
        </w:rPr>
        <w:t>．</w:t>
      </w:r>
      <w:r>
        <w:rPr>
          <w:rFonts w:hint="eastAsia" w:ascii="Times New Roman" w:eastAsia="仿宋_GB2312"/>
          <w:szCs w:val="32"/>
        </w:rPr>
        <w:t>赣榆区工业企业资源集约利用综合评价数据采集明细表</w:t>
      </w:r>
    </w:p>
    <w:p>
      <w:pPr>
        <w:spacing w:line="560" w:lineRule="exact"/>
        <w:ind w:firstLine="1561" w:firstLineChars="494"/>
        <w:rPr>
          <w:rFonts w:ascii="Times New Roman" w:eastAsia="仿宋_GB2312"/>
          <w:szCs w:val="32"/>
        </w:rPr>
      </w:pPr>
      <w:r>
        <w:rPr>
          <w:rFonts w:hint="eastAsia" w:ascii="Times New Roman" w:eastAsia="仿宋_GB2312"/>
          <w:szCs w:val="32"/>
        </w:rPr>
        <w:t>4</w:t>
      </w:r>
      <w:r>
        <w:rPr>
          <w:rFonts w:ascii="Times New Roman" w:eastAsia="仿宋_GB2312"/>
          <w:szCs w:val="32"/>
        </w:rPr>
        <w:t>．</w:t>
      </w:r>
      <w:r>
        <w:rPr>
          <w:rFonts w:hint="eastAsia" w:ascii="Times New Roman" w:eastAsia="仿宋_GB2312"/>
          <w:szCs w:val="32"/>
        </w:rPr>
        <w:t>数据采集样表（根据市信息系统动态调整）</w:t>
      </w: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pacing w:line="560" w:lineRule="exact"/>
        <w:ind w:firstLine="632" w:firstLineChars="200"/>
        <w:rPr>
          <w:rFonts w:ascii="Times New Roman" w:eastAsia="仿宋_GB2312"/>
          <w:szCs w:val="32"/>
        </w:rPr>
      </w:pPr>
    </w:p>
    <w:p>
      <w:pPr>
        <w:suppressAutoHyphens/>
        <w:autoSpaceDE/>
        <w:snapToGrid/>
        <w:spacing w:line="40" w:lineRule="exact"/>
        <w:ind w:firstLine="0"/>
        <w:textAlignment w:val="baseline"/>
        <w:rPr>
          <w:rFonts w:ascii="Times New Roman" w:eastAsia="仿宋_GB2312"/>
          <w:snapToGrid/>
          <w:kern w:val="3"/>
          <w:szCs w:val="32"/>
        </w:rPr>
      </w:pPr>
    </w:p>
    <w:p>
      <w:pPr>
        <w:spacing w:line="560" w:lineRule="exact"/>
        <w:ind w:firstLine="0"/>
        <w:rPr>
          <w:rFonts w:ascii="Times New Roman" w:eastAsia="仿宋_GB2312"/>
          <w:szCs w:val="32"/>
        </w:rPr>
      </w:pPr>
      <w:r>
        <w:rPr>
          <w:rFonts w:hint="eastAsia" w:ascii="Times New Roman" w:eastAsia="仿宋_GB2312"/>
          <w:szCs w:val="32"/>
        </w:rPr>
        <w:t>附件1</w:t>
      </w:r>
    </w:p>
    <w:p>
      <w:pPr>
        <w:widowControl/>
        <w:autoSpaceDE/>
        <w:autoSpaceDN/>
        <w:snapToGrid/>
        <w:spacing w:line="500" w:lineRule="exact"/>
        <w:ind w:firstLine="0"/>
        <w:jc w:val="center"/>
        <w:rPr>
          <w:rFonts w:ascii="方正小标宋简体" w:eastAsia="方正小标宋简体"/>
          <w:snapToGrid/>
          <w:kern w:val="3"/>
          <w:sz w:val="44"/>
          <w:szCs w:val="44"/>
        </w:rPr>
      </w:pPr>
    </w:p>
    <w:p>
      <w:pPr>
        <w:widowControl/>
        <w:autoSpaceDE/>
        <w:autoSpaceDN/>
        <w:snapToGrid/>
        <w:spacing w:line="500" w:lineRule="exact"/>
        <w:ind w:firstLine="0"/>
        <w:jc w:val="center"/>
        <w:rPr>
          <w:rFonts w:ascii="方正小标宋简体" w:eastAsia="方正小标宋简体"/>
          <w:snapToGrid/>
          <w:kern w:val="3"/>
          <w:sz w:val="36"/>
          <w:szCs w:val="36"/>
        </w:rPr>
      </w:pPr>
      <w:r>
        <w:rPr>
          <w:rFonts w:hint="eastAsia" w:ascii="方正小标宋简体" w:eastAsia="方正小标宋简体"/>
          <w:snapToGrid/>
          <w:kern w:val="3"/>
          <w:sz w:val="36"/>
          <w:szCs w:val="36"/>
        </w:rPr>
        <w:t>单项指标计算公式中有关指标解释</w:t>
      </w:r>
    </w:p>
    <w:p>
      <w:pPr>
        <w:spacing w:line="560" w:lineRule="exact"/>
        <w:ind w:firstLine="0"/>
        <w:rPr>
          <w:rFonts w:ascii="Times New Roman" w:eastAsia="仿宋_GB2312"/>
          <w:szCs w:val="32"/>
        </w:rPr>
      </w:pP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kern w:val="3"/>
          <w:szCs w:val="32"/>
        </w:rPr>
        <w:t>1.</w:t>
      </w:r>
      <w:r>
        <w:rPr>
          <w:rFonts w:ascii="Times New Roman" w:eastAsia="仿宋_GB2312"/>
          <w:kern w:val="3"/>
          <w:szCs w:val="32"/>
        </w:rPr>
        <w:t>实际占地面积。指年度统计报告期末企业实际占用的全部土地面积。“一地多企”，应将该宗土地上所有租赁企业的调查数据汇总后，归入到</w:t>
      </w:r>
      <w:r>
        <w:rPr>
          <w:rFonts w:ascii="Times New Roman" w:eastAsia="仿宋_GB2312"/>
          <w:color w:val="000000" w:themeColor="text1"/>
          <w:kern w:val="3"/>
          <w:szCs w:val="32"/>
        </w:rPr>
        <w:t>该宗地权利人，以宗地权利人作为评价对象；</w:t>
      </w:r>
      <w:r>
        <w:rPr>
          <w:rFonts w:ascii="Times New Roman" w:eastAsia="仿宋_GB2312"/>
          <w:kern w:val="3"/>
          <w:szCs w:val="32"/>
        </w:rPr>
        <w:t>“一企多地”，应列入企业所在地参与评价。</w:t>
      </w: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kern w:val="3"/>
          <w:szCs w:val="32"/>
        </w:rPr>
        <w:t>2.</w:t>
      </w:r>
      <w:r>
        <w:rPr>
          <w:rFonts w:ascii="Times New Roman" w:eastAsia="仿宋_GB2312"/>
          <w:kern w:val="3"/>
          <w:szCs w:val="32"/>
        </w:rPr>
        <w:t>销售收入。指企业在税务纳税申报系统中申报的所有销售收入。</w:t>
      </w: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kern w:val="3"/>
          <w:szCs w:val="32"/>
        </w:rPr>
        <w:t>3.</w:t>
      </w:r>
      <w:r>
        <w:rPr>
          <w:rFonts w:ascii="Times New Roman" w:eastAsia="仿宋_GB2312"/>
          <w:kern w:val="3"/>
          <w:szCs w:val="32"/>
        </w:rPr>
        <w:t>实缴税金。指企业评价年度在辖区实际缴纳入库且与持续经营有关的增值税（实际入库数+免抵调库数</w:t>
      </w:r>
      <w:r>
        <w:rPr>
          <w:rFonts w:hint="eastAsia" w:ascii="Times New Roman" w:eastAsia="仿宋_GB2312"/>
          <w:kern w:val="3"/>
          <w:szCs w:val="32"/>
        </w:rPr>
        <w:t>—</w:t>
      </w:r>
      <w:r>
        <w:rPr>
          <w:rFonts w:ascii="Times New Roman" w:eastAsia="仿宋_GB2312"/>
          <w:kern w:val="3"/>
          <w:szCs w:val="32"/>
        </w:rPr>
        <w:t>出口退税以外的其他退税数）、消费税、企业所得税、城市维护建设税、房产税、城镇土地使用税、土地增值税、印花税、契税、耕地占用税、车船税、教育费附加、地方教育附加等税费。</w:t>
      </w: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kern w:val="3"/>
          <w:szCs w:val="32"/>
        </w:rPr>
        <w:t>4.</w:t>
      </w:r>
      <w:r>
        <w:rPr>
          <w:rFonts w:ascii="Times New Roman" w:eastAsia="仿宋_GB2312"/>
          <w:kern w:val="3"/>
          <w:szCs w:val="32"/>
        </w:rPr>
        <w:t>能耗总量。指企业生产</w:t>
      </w:r>
      <w:r>
        <w:rPr>
          <w:rFonts w:hint="eastAsia" w:ascii="Times New Roman" w:eastAsia="仿宋_GB2312"/>
          <w:kern w:val="3"/>
          <w:szCs w:val="32"/>
        </w:rPr>
        <w:t>和非生产活动消耗</w:t>
      </w:r>
      <w:r>
        <w:rPr>
          <w:rFonts w:ascii="Times New Roman" w:eastAsia="仿宋_GB2312"/>
          <w:kern w:val="3"/>
          <w:szCs w:val="32"/>
        </w:rPr>
        <w:t>的能源总量</w:t>
      </w:r>
      <w:r>
        <w:rPr>
          <w:rFonts w:hint="eastAsia" w:ascii="Times New Roman" w:eastAsia="仿宋_GB2312"/>
          <w:kern w:val="3"/>
          <w:szCs w:val="32"/>
        </w:rPr>
        <w:t>。工业生产活动消耗能源包括作为</w:t>
      </w:r>
      <w:r>
        <w:rPr>
          <w:rFonts w:ascii="Times New Roman" w:eastAsia="仿宋_GB2312"/>
          <w:kern w:val="3"/>
          <w:szCs w:val="32"/>
        </w:rPr>
        <w:t>燃料、动力、原料、辅助材料使用的能源，生产工艺中使用的能源，用于能源加工转换的能源，以及非工业生产活动中使用的能源。</w:t>
      </w: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kern w:val="3"/>
          <w:szCs w:val="32"/>
        </w:rPr>
        <w:t>5.</w:t>
      </w:r>
      <w:r>
        <w:rPr>
          <w:rFonts w:ascii="Times New Roman" w:eastAsia="仿宋_GB2312"/>
          <w:kern w:val="3"/>
          <w:szCs w:val="32"/>
        </w:rPr>
        <w:t>主要污染物排放</w:t>
      </w:r>
      <w:r>
        <w:rPr>
          <w:rFonts w:hint="eastAsia" w:ascii="Times New Roman" w:eastAsia="仿宋_GB2312"/>
          <w:kern w:val="3"/>
          <w:szCs w:val="32"/>
        </w:rPr>
        <w:t>总</w:t>
      </w:r>
      <w:r>
        <w:rPr>
          <w:rFonts w:ascii="Times New Roman" w:eastAsia="仿宋_GB2312"/>
          <w:kern w:val="3"/>
          <w:szCs w:val="32"/>
        </w:rPr>
        <w:t>当量。指排污企业缴纳环保税金时</w:t>
      </w:r>
      <w:r>
        <w:rPr>
          <w:rFonts w:hint="eastAsia" w:ascii="Times New Roman" w:eastAsia="仿宋_GB2312"/>
          <w:kern w:val="3"/>
          <w:szCs w:val="32"/>
        </w:rPr>
        <w:t>生态环境</w:t>
      </w:r>
      <w:r>
        <w:rPr>
          <w:rFonts w:ascii="Times New Roman" w:eastAsia="仿宋_GB2312"/>
          <w:kern w:val="3"/>
          <w:szCs w:val="32"/>
        </w:rPr>
        <w:t>部门核定的污染物当量。</w:t>
      </w:r>
    </w:p>
    <w:p>
      <w:pPr>
        <w:suppressAutoHyphens/>
        <w:spacing w:line="560" w:lineRule="exact"/>
        <w:ind w:firstLine="632" w:firstLineChars="200"/>
        <w:textAlignment w:val="baseline"/>
        <w:rPr>
          <w:rFonts w:ascii="Times New Roman" w:eastAsia="仿宋_GB2312"/>
          <w:kern w:val="3"/>
          <w:szCs w:val="32"/>
        </w:rPr>
      </w:pPr>
    </w:p>
    <w:p>
      <w:pPr>
        <w:suppressAutoHyphens/>
        <w:spacing w:line="560" w:lineRule="exact"/>
        <w:ind w:firstLine="0"/>
        <w:jc w:val="left"/>
        <w:textAlignment w:val="baseline"/>
        <w:rPr>
          <w:rFonts w:ascii="Times New Roman" w:eastAsia="仿宋_GB2312"/>
          <w:kern w:val="3"/>
          <w:szCs w:val="32"/>
        </w:rPr>
      </w:pPr>
    </w:p>
    <w:p>
      <w:pPr>
        <w:suppressAutoHyphens/>
        <w:spacing w:line="560" w:lineRule="exact"/>
        <w:ind w:firstLine="0"/>
        <w:jc w:val="left"/>
        <w:textAlignment w:val="baseline"/>
        <w:rPr>
          <w:rFonts w:ascii="Times New Roman" w:eastAsia="仿宋_GB2312"/>
          <w:kern w:val="3"/>
          <w:szCs w:val="32"/>
        </w:rPr>
      </w:pPr>
      <w:r>
        <w:rPr>
          <w:rFonts w:hint="eastAsia" w:ascii="Times New Roman" w:eastAsia="仿宋_GB2312"/>
          <w:kern w:val="3"/>
          <w:szCs w:val="32"/>
        </w:rPr>
        <w:t>附件2</w:t>
      </w:r>
    </w:p>
    <w:p>
      <w:pPr>
        <w:widowControl/>
        <w:autoSpaceDE/>
        <w:autoSpaceDN/>
        <w:snapToGrid/>
        <w:spacing w:line="500" w:lineRule="exact"/>
        <w:ind w:firstLine="0"/>
        <w:jc w:val="center"/>
        <w:rPr>
          <w:rFonts w:ascii="方正小标宋简体" w:eastAsia="方正小标宋简体"/>
          <w:snapToGrid/>
          <w:kern w:val="3"/>
          <w:sz w:val="36"/>
          <w:szCs w:val="36"/>
        </w:rPr>
      </w:pPr>
      <w:r>
        <w:rPr>
          <w:rFonts w:hint="eastAsia" w:ascii="方正小标宋简体" w:eastAsia="方正小标宋简体"/>
          <w:snapToGrid/>
          <w:kern w:val="3"/>
          <w:sz w:val="36"/>
          <w:szCs w:val="36"/>
        </w:rPr>
        <w:t>单项指标计算公式</w:t>
      </w:r>
    </w:p>
    <w:p>
      <w:pPr>
        <w:widowControl/>
        <w:autoSpaceDE/>
        <w:autoSpaceDN/>
        <w:snapToGrid/>
        <w:spacing w:line="500" w:lineRule="exact"/>
        <w:ind w:firstLine="0"/>
        <w:jc w:val="center"/>
        <w:rPr>
          <w:rFonts w:ascii="方正小标宋简体" w:eastAsia="方正小标宋简体"/>
          <w:snapToGrid/>
          <w:kern w:val="3"/>
          <w:sz w:val="36"/>
          <w:szCs w:val="36"/>
        </w:rPr>
      </w:pP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kern w:val="3"/>
          <w:szCs w:val="32"/>
        </w:rPr>
        <w:t>1.亩均税收（万元/亩）=实缴税金/实际占地面积</w:t>
      </w: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kern w:val="3"/>
          <w:szCs w:val="32"/>
        </w:rPr>
        <w:t>2.亩均销售收入（万元/亩）=销售收入/实际占地面积</w:t>
      </w: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kern w:val="3"/>
          <w:szCs w:val="32"/>
        </w:rPr>
        <w:t>3.单位能耗税收（万元/吨标煤）=实缴税金/能耗总量</w:t>
      </w: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kern w:val="3"/>
          <w:szCs w:val="32"/>
        </w:rPr>
        <w:t>4.单位能耗销售（万元/吨标煤）=销售收入/能耗总量</w:t>
      </w:r>
    </w:p>
    <w:p>
      <w:pPr>
        <w:suppressAutoHyphens/>
        <w:spacing w:line="560" w:lineRule="exact"/>
        <w:ind w:firstLine="632" w:firstLineChars="200"/>
        <w:textAlignment w:val="baseline"/>
        <w:rPr>
          <w:rFonts w:ascii="Times New Roman" w:eastAsia="仿宋_GB2312"/>
          <w:kern w:val="3"/>
          <w:szCs w:val="32"/>
        </w:rPr>
      </w:pPr>
      <w:r>
        <w:rPr>
          <w:rFonts w:hint="eastAsia" w:ascii="Times New Roman" w:eastAsia="仿宋_GB2312"/>
          <w:kern w:val="3"/>
          <w:szCs w:val="32"/>
        </w:rPr>
        <w:t>5.单位主要污染物税收（万元/当量）=实缴税金/主要污染物排放总当量</w:t>
      </w: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r>
        <w:rPr>
          <w:rFonts w:hint="eastAsia" w:ascii="Times New Roman" w:eastAsia="仿宋_GB2312"/>
          <w:szCs w:val="32"/>
        </w:rPr>
        <w:t>附件3</w:t>
      </w:r>
    </w:p>
    <w:tbl>
      <w:tblPr>
        <w:tblStyle w:val="9"/>
        <w:tblW w:w="9535" w:type="dxa"/>
        <w:tblInd w:w="-62" w:type="dxa"/>
        <w:tblLayout w:type="fixed"/>
        <w:tblCellMar>
          <w:top w:w="0" w:type="dxa"/>
          <w:left w:w="108" w:type="dxa"/>
          <w:bottom w:w="0" w:type="dxa"/>
          <w:right w:w="108" w:type="dxa"/>
        </w:tblCellMar>
      </w:tblPr>
      <w:tblGrid>
        <w:gridCol w:w="715"/>
        <w:gridCol w:w="1540"/>
        <w:gridCol w:w="6562"/>
        <w:gridCol w:w="718"/>
      </w:tblGrid>
      <w:tr>
        <w:tblPrEx>
          <w:tblCellMar>
            <w:top w:w="0" w:type="dxa"/>
            <w:left w:w="108" w:type="dxa"/>
            <w:bottom w:w="0" w:type="dxa"/>
            <w:right w:w="108" w:type="dxa"/>
          </w:tblCellMar>
        </w:tblPrEx>
        <w:trPr>
          <w:trHeight w:val="930" w:hRule="atLeast"/>
        </w:trPr>
        <w:tc>
          <w:tcPr>
            <w:tcW w:w="9535" w:type="dxa"/>
            <w:gridSpan w:val="4"/>
            <w:tcBorders>
              <w:top w:val="nil"/>
              <w:left w:val="nil"/>
              <w:bottom w:val="single" w:color="auto" w:sz="4" w:space="0"/>
              <w:right w:val="nil"/>
            </w:tcBorders>
            <w:shd w:val="clear" w:color="auto" w:fill="auto"/>
            <w:noWrap/>
            <w:vAlign w:val="center"/>
          </w:tcPr>
          <w:p>
            <w:pPr>
              <w:widowControl/>
              <w:autoSpaceDE/>
              <w:autoSpaceDN/>
              <w:snapToGrid/>
              <w:spacing w:line="500" w:lineRule="exact"/>
              <w:ind w:firstLine="0"/>
              <w:jc w:val="center"/>
              <w:rPr>
                <w:rFonts w:ascii="方正小标宋简体" w:eastAsia="方正小标宋简体"/>
                <w:snapToGrid/>
                <w:kern w:val="3"/>
                <w:sz w:val="44"/>
                <w:szCs w:val="44"/>
              </w:rPr>
            </w:pPr>
            <w:r>
              <w:rPr>
                <w:rFonts w:hint="eastAsia" w:ascii="方正小标宋简体" w:eastAsia="方正小标宋简体"/>
                <w:snapToGrid/>
                <w:kern w:val="3"/>
                <w:sz w:val="44"/>
                <w:szCs w:val="44"/>
              </w:rPr>
              <w:t>赣榆区工业企业资源集约利用综合评价</w:t>
            </w:r>
          </w:p>
          <w:p>
            <w:pPr>
              <w:widowControl/>
              <w:autoSpaceDE/>
              <w:autoSpaceDN/>
              <w:snapToGrid/>
              <w:spacing w:line="500" w:lineRule="exact"/>
              <w:ind w:firstLine="0"/>
              <w:jc w:val="center"/>
              <w:rPr>
                <w:rFonts w:ascii="方正小标宋简体" w:eastAsia="方正小标宋简体"/>
                <w:snapToGrid/>
                <w:kern w:val="3"/>
                <w:sz w:val="44"/>
                <w:szCs w:val="44"/>
              </w:rPr>
            </w:pPr>
            <w:r>
              <w:rPr>
                <w:rFonts w:hint="eastAsia" w:ascii="方正小标宋简体" w:eastAsia="方正小标宋简体"/>
                <w:snapToGrid/>
                <w:kern w:val="3"/>
                <w:sz w:val="44"/>
                <w:szCs w:val="44"/>
              </w:rPr>
              <w:t>数据采集明细表</w:t>
            </w:r>
          </w:p>
        </w:tc>
      </w:tr>
      <w:tr>
        <w:tblPrEx>
          <w:tblCellMar>
            <w:top w:w="0" w:type="dxa"/>
            <w:left w:w="108" w:type="dxa"/>
            <w:bottom w:w="0" w:type="dxa"/>
            <w:right w:w="108" w:type="dxa"/>
          </w:tblCellMar>
        </w:tblPrEx>
        <w:trPr>
          <w:trHeight w:val="540"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黑体" w:hAnsi="黑体" w:eastAsia="黑体" w:cs="宋体"/>
                <w:snapToGrid/>
                <w:sz w:val="22"/>
                <w:szCs w:val="22"/>
              </w:rPr>
            </w:pPr>
            <w:r>
              <w:rPr>
                <w:rFonts w:hint="eastAsia" w:ascii="黑体" w:hAnsi="黑体" w:eastAsia="黑体" w:cs="宋体"/>
                <w:snapToGrid/>
                <w:sz w:val="22"/>
                <w:szCs w:val="22"/>
              </w:rPr>
              <w:t>序号</w:t>
            </w:r>
          </w:p>
        </w:tc>
        <w:tc>
          <w:tcPr>
            <w:tcW w:w="1540"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黑体" w:hAnsi="黑体" w:eastAsia="黑体" w:cs="宋体"/>
                <w:snapToGrid/>
                <w:sz w:val="22"/>
                <w:szCs w:val="22"/>
              </w:rPr>
            </w:pPr>
            <w:r>
              <w:rPr>
                <w:rFonts w:hint="eastAsia" w:ascii="黑体" w:hAnsi="黑体" w:eastAsia="黑体" w:cs="宋体"/>
                <w:snapToGrid/>
                <w:sz w:val="22"/>
                <w:szCs w:val="22"/>
              </w:rPr>
              <w:t>部门</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黑体" w:hAnsi="黑体" w:eastAsia="黑体" w:cs="宋体"/>
                <w:snapToGrid/>
                <w:sz w:val="22"/>
                <w:szCs w:val="22"/>
              </w:rPr>
            </w:pPr>
            <w:r>
              <w:rPr>
                <w:rFonts w:hint="eastAsia" w:ascii="黑体" w:hAnsi="黑体" w:eastAsia="黑体" w:cs="宋体"/>
                <w:snapToGrid/>
                <w:sz w:val="22"/>
                <w:szCs w:val="22"/>
              </w:rPr>
              <w:t>数据项</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黑体" w:hAnsi="黑体" w:eastAsia="黑体" w:cs="宋体"/>
                <w:snapToGrid/>
                <w:sz w:val="22"/>
                <w:szCs w:val="22"/>
              </w:rPr>
            </w:pPr>
            <w:r>
              <w:rPr>
                <w:rFonts w:hint="eastAsia" w:ascii="黑体" w:hAnsi="黑体" w:eastAsia="黑体" w:cs="宋体"/>
                <w:snapToGrid/>
                <w:sz w:val="22"/>
                <w:szCs w:val="22"/>
              </w:rPr>
              <w:t>采集</w:t>
            </w:r>
          </w:p>
          <w:p>
            <w:pPr>
              <w:widowControl/>
              <w:autoSpaceDE/>
              <w:autoSpaceDN/>
              <w:snapToGrid/>
              <w:spacing w:line="240" w:lineRule="auto"/>
              <w:ind w:firstLine="0"/>
              <w:jc w:val="center"/>
              <w:rPr>
                <w:rFonts w:ascii="黑体" w:hAnsi="黑体" w:eastAsia="黑体" w:cs="宋体"/>
                <w:snapToGrid/>
                <w:sz w:val="22"/>
                <w:szCs w:val="22"/>
              </w:rPr>
            </w:pPr>
            <w:r>
              <w:rPr>
                <w:rFonts w:hint="eastAsia" w:ascii="黑体" w:hAnsi="黑体" w:eastAsia="黑体" w:cs="宋体"/>
                <w:snapToGrid/>
                <w:sz w:val="22"/>
                <w:szCs w:val="22"/>
              </w:rPr>
              <w:t>频率</w:t>
            </w:r>
          </w:p>
        </w:tc>
      </w:tr>
      <w:tr>
        <w:tblPrEx>
          <w:tblCellMar>
            <w:top w:w="0" w:type="dxa"/>
            <w:left w:w="108" w:type="dxa"/>
            <w:bottom w:w="0" w:type="dxa"/>
            <w:right w:w="108" w:type="dxa"/>
          </w:tblCellMar>
        </w:tblPrEx>
        <w:trPr>
          <w:trHeight w:val="397"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ascii="Times New Roman" w:eastAsia="等线"/>
                <w:snapToGrid/>
                <w:sz w:val="22"/>
                <w:szCs w:val="22"/>
              </w:rPr>
              <w:t>1</w:t>
            </w:r>
          </w:p>
        </w:tc>
        <w:tc>
          <w:tcPr>
            <w:tcW w:w="1540"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区发改委</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left"/>
              <w:rPr>
                <w:rFonts w:ascii="Times New Roman" w:eastAsia="等线"/>
                <w:snapToGrid/>
                <w:sz w:val="22"/>
                <w:szCs w:val="22"/>
              </w:rPr>
            </w:pPr>
            <w:r>
              <w:rPr>
                <w:rFonts w:hint="eastAsia" w:ascii="仿宋_GB2312" w:eastAsia="仿宋_GB2312"/>
                <w:snapToGrid/>
                <w:sz w:val="22"/>
                <w:szCs w:val="22"/>
              </w:rPr>
              <w:t>信用信息平台中有严重失信记录且未经修复的企业</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每年</w:t>
            </w:r>
          </w:p>
        </w:tc>
      </w:tr>
      <w:tr>
        <w:tblPrEx>
          <w:tblCellMar>
            <w:top w:w="0" w:type="dxa"/>
            <w:left w:w="108" w:type="dxa"/>
            <w:bottom w:w="0" w:type="dxa"/>
            <w:right w:w="108" w:type="dxa"/>
          </w:tblCellMar>
        </w:tblPrEx>
        <w:trPr>
          <w:trHeight w:val="847"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ascii="Times New Roman" w:eastAsia="等线"/>
                <w:snapToGrid/>
                <w:sz w:val="22"/>
                <w:szCs w:val="22"/>
              </w:rPr>
              <w:t>2</w:t>
            </w:r>
          </w:p>
        </w:tc>
        <w:tc>
          <w:tcPr>
            <w:tcW w:w="1540"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区科技局</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等线"/>
                <w:snapToGrid/>
                <w:sz w:val="22"/>
                <w:szCs w:val="22"/>
              </w:rPr>
            </w:pPr>
            <w:r>
              <w:rPr>
                <w:rFonts w:hint="eastAsia" w:ascii="仿宋_GB2312" w:eastAsia="仿宋_GB2312"/>
                <w:snapToGrid/>
                <w:sz w:val="22"/>
                <w:szCs w:val="22"/>
              </w:rPr>
              <w:t>国家、省市级研发平台、创新平台，荣誉（牌子），国家、省市级科技项目，高新技术企业，江苏省创新型领军企业，市高新技术培育库企业等</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每年</w:t>
            </w:r>
          </w:p>
        </w:tc>
      </w:tr>
      <w:tr>
        <w:tblPrEx>
          <w:tblCellMar>
            <w:top w:w="0" w:type="dxa"/>
            <w:left w:w="108" w:type="dxa"/>
            <w:bottom w:w="0" w:type="dxa"/>
            <w:right w:w="108" w:type="dxa"/>
          </w:tblCellMar>
        </w:tblPrEx>
        <w:trPr>
          <w:trHeight w:val="553"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ascii="Times New Roman" w:eastAsia="等线"/>
                <w:snapToGrid/>
                <w:sz w:val="22"/>
                <w:szCs w:val="22"/>
              </w:rPr>
              <w:t>3</w:t>
            </w:r>
          </w:p>
        </w:tc>
        <w:tc>
          <w:tcPr>
            <w:tcW w:w="1540"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区工信局</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等线"/>
                <w:snapToGrid/>
                <w:sz w:val="22"/>
                <w:szCs w:val="22"/>
              </w:rPr>
            </w:pPr>
            <w:r>
              <w:rPr>
                <w:rFonts w:ascii="Times New Roman" w:eastAsia="仿宋_GB2312"/>
                <w:snapToGrid/>
                <w:sz w:val="22"/>
                <w:szCs w:val="22"/>
              </w:rPr>
              <w:t>国家、省专精特新小巨人、单项冠军企业、服务型制造示范企业、互联网试点示范（标杆工厂）、星级上云企业、智能工厂（车间）等</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每年</w:t>
            </w:r>
          </w:p>
        </w:tc>
      </w:tr>
      <w:tr>
        <w:tblPrEx>
          <w:tblCellMar>
            <w:top w:w="0" w:type="dxa"/>
            <w:left w:w="108" w:type="dxa"/>
            <w:bottom w:w="0" w:type="dxa"/>
            <w:right w:w="108" w:type="dxa"/>
          </w:tblCellMar>
        </w:tblPrEx>
        <w:trPr>
          <w:trHeight w:val="391"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ascii="Times New Roman" w:eastAsia="等线"/>
                <w:snapToGrid/>
                <w:sz w:val="22"/>
                <w:szCs w:val="22"/>
              </w:rPr>
              <w:t>4</w:t>
            </w:r>
          </w:p>
        </w:tc>
        <w:tc>
          <w:tcPr>
            <w:tcW w:w="1540"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区人社局</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等线"/>
                <w:snapToGrid/>
                <w:sz w:val="22"/>
                <w:szCs w:val="22"/>
              </w:rPr>
            </w:pPr>
            <w:r>
              <w:rPr>
                <w:rFonts w:hint="eastAsia" w:ascii="仿宋_GB2312" w:eastAsia="仿宋_GB2312"/>
                <w:snapToGrid/>
                <w:sz w:val="22"/>
                <w:szCs w:val="22"/>
              </w:rPr>
              <w:t>参保职工数</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每年</w:t>
            </w:r>
          </w:p>
        </w:tc>
      </w:tr>
      <w:tr>
        <w:tblPrEx>
          <w:tblCellMar>
            <w:top w:w="0" w:type="dxa"/>
            <w:left w:w="108" w:type="dxa"/>
            <w:bottom w:w="0" w:type="dxa"/>
            <w:right w:w="108" w:type="dxa"/>
          </w:tblCellMar>
        </w:tblPrEx>
        <w:trPr>
          <w:trHeight w:val="608"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ascii="Times New Roman" w:eastAsia="等线"/>
                <w:snapToGrid/>
                <w:sz w:val="22"/>
                <w:szCs w:val="22"/>
              </w:rPr>
              <w:t>5</w:t>
            </w:r>
          </w:p>
        </w:tc>
        <w:tc>
          <w:tcPr>
            <w:tcW w:w="1540"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区自然资源局</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等线"/>
                <w:snapToGrid/>
                <w:sz w:val="22"/>
                <w:szCs w:val="22"/>
              </w:rPr>
            </w:pPr>
            <w:r>
              <w:rPr>
                <w:rFonts w:hint="eastAsia" w:ascii="仿宋_GB2312" w:eastAsia="仿宋_GB2312"/>
                <w:snapToGrid/>
                <w:sz w:val="22"/>
                <w:szCs w:val="22"/>
              </w:rPr>
              <w:t>权利人名称、土地坐落地址、所在地区、所属镇（园区）、占地面积（亩）、其中持证（亩）、权属性质、批准用途、地理空间</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每年</w:t>
            </w:r>
          </w:p>
        </w:tc>
      </w:tr>
      <w:tr>
        <w:tblPrEx>
          <w:tblCellMar>
            <w:top w:w="0" w:type="dxa"/>
            <w:left w:w="108" w:type="dxa"/>
            <w:bottom w:w="0" w:type="dxa"/>
            <w:right w:w="108" w:type="dxa"/>
          </w:tblCellMar>
        </w:tblPrEx>
        <w:trPr>
          <w:trHeight w:val="97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ascii="Times New Roman" w:eastAsia="等线"/>
                <w:snapToGrid/>
                <w:sz w:val="22"/>
                <w:szCs w:val="22"/>
              </w:rPr>
              <w:t>6</w:t>
            </w:r>
          </w:p>
        </w:tc>
        <w:tc>
          <w:tcPr>
            <w:tcW w:w="1540"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赣榆生态环境局</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等线"/>
                <w:snapToGrid/>
                <w:sz w:val="22"/>
                <w:szCs w:val="22"/>
              </w:rPr>
            </w:pPr>
            <w:r>
              <w:rPr>
                <w:rFonts w:hint="eastAsia" w:ascii="仿宋_GB2312" w:eastAsia="仿宋_GB2312"/>
                <w:snapToGrid/>
                <w:sz w:val="22"/>
                <w:szCs w:val="22"/>
              </w:rPr>
              <w:t>环保信用评价等级（绿色企业、蓝色企业、黄色企业、红色企业、黑色企业）、一般突发环境事件（次数）、较大突发环境事件（次数）、重大突发环境事件（次数）、特别重大突发环境事件（次数）。</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每年</w:t>
            </w:r>
          </w:p>
        </w:tc>
      </w:tr>
      <w:tr>
        <w:tblPrEx>
          <w:tblCellMar>
            <w:top w:w="0" w:type="dxa"/>
            <w:left w:w="108" w:type="dxa"/>
            <w:bottom w:w="0" w:type="dxa"/>
            <w:right w:w="108" w:type="dxa"/>
          </w:tblCellMar>
        </w:tblPrEx>
        <w:trPr>
          <w:trHeight w:val="420" w:hRule="atLeast"/>
        </w:trPr>
        <w:tc>
          <w:tcPr>
            <w:tcW w:w="71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ascii="Times New Roman" w:eastAsia="等线"/>
                <w:snapToGrid/>
                <w:sz w:val="22"/>
                <w:szCs w:val="22"/>
              </w:rPr>
              <w:t>7</w:t>
            </w:r>
          </w:p>
        </w:tc>
        <w:tc>
          <w:tcPr>
            <w:tcW w:w="15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区住建局</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等线"/>
                <w:snapToGrid/>
                <w:sz w:val="22"/>
                <w:szCs w:val="22"/>
              </w:rPr>
            </w:pPr>
            <w:r>
              <w:rPr>
                <w:rFonts w:hint="eastAsia" w:ascii="仿宋_GB2312" w:eastAsia="仿宋_GB2312"/>
                <w:snapToGrid/>
                <w:sz w:val="22"/>
                <w:szCs w:val="22"/>
              </w:rPr>
              <w:t>企业用水量（万立方米）</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每月</w:t>
            </w:r>
          </w:p>
        </w:tc>
      </w:tr>
      <w:tr>
        <w:tblPrEx>
          <w:tblCellMar>
            <w:top w:w="0" w:type="dxa"/>
            <w:left w:w="108" w:type="dxa"/>
            <w:bottom w:w="0" w:type="dxa"/>
            <w:right w:w="108" w:type="dxa"/>
          </w:tblCellMar>
        </w:tblPrEx>
        <w:trPr>
          <w:trHeight w:val="421" w:hRule="atLeast"/>
        </w:trPr>
        <w:tc>
          <w:tcPr>
            <w:tcW w:w="71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spacing w:line="240" w:lineRule="auto"/>
              <w:ind w:firstLine="0"/>
              <w:jc w:val="left"/>
              <w:rPr>
                <w:rFonts w:ascii="Times New Roman" w:eastAsia="等线"/>
                <w:snapToGrid/>
                <w:sz w:val="22"/>
                <w:szCs w:val="22"/>
              </w:rPr>
            </w:pPr>
          </w:p>
        </w:tc>
        <w:tc>
          <w:tcPr>
            <w:tcW w:w="15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spacing w:line="240" w:lineRule="auto"/>
              <w:ind w:firstLine="0"/>
              <w:jc w:val="left"/>
              <w:rPr>
                <w:rFonts w:ascii="Times New Roman" w:eastAsia="等线"/>
                <w:snapToGrid/>
                <w:sz w:val="22"/>
                <w:szCs w:val="22"/>
              </w:rPr>
            </w:pP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等线"/>
                <w:snapToGrid/>
                <w:sz w:val="22"/>
                <w:szCs w:val="22"/>
              </w:rPr>
            </w:pPr>
            <w:r>
              <w:rPr>
                <w:rFonts w:hint="eastAsia" w:ascii="仿宋_GB2312" w:eastAsia="仿宋_GB2312"/>
                <w:snapToGrid/>
                <w:sz w:val="22"/>
                <w:szCs w:val="22"/>
              </w:rPr>
              <w:t>企业用气量（万立方米）</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每月</w:t>
            </w:r>
          </w:p>
        </w:tc>
      </w:tr>
      <w:tr>
        <w:tblPrEx>
          <w:tblCellMar>
            <w:top w:w="0" w:type="dxa"/>
            <w:left w:w="108" w:type="dxa"/>
            <w:bottom w:w="0" w:type="dxa"/>
            <w:right w:w="108" w:type="dxa"/>
          </w:tblCellMar>
        </w:tblPrEx>
        <w:trPr>
          <w:trHeight w:val="421" w:hRule="atLeast"/>
        </w:trPr>
        <w:tc>
          <w:tcPr>
            <w:tcW w:w="715" w:type="dxa"/>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default" w:ascii="Times New Roman" w:eastAsia="等线"/>
                <w:snapToGrid/>
                <w:sz w:val="22"/>
                <w:szCs w:val="22"/>
              </w:rPr>
              <w:t>8</w:t>
            </w:r>
          </w:p>
        </w:tc>
        <w:tc>
          <w:tcPr>
            <w:tcW w:w="1540" w:type="dxa"/>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spacing w:line="240" w:lineRule="auto"/>
              <w:ind w:firstLine="0"/>
              <w:jc w:val="center"/>
              <w:rPr>
                <w:rFonts w:ascii="仿宋_GB2312" w:eastAsia="仿宋_GB2312"/>
                <w:snapToGrid/>
                <w:sz w:val="22"/>
                <w:szCs w:val="22"/>
              </w:rPr>
            </w:pPr>
            <w:r>
              <w:rPr>
                <w:rFonts w:hint="eastAsia" w:ascii="仿宋_GB2312" w:eastAsia="仿宋_GB2312"/>
                <w:snapToGrid/>
                <w:sz w:val="22"/>
                <w:szCs w:val="22"/>
              </w:rPr>
              <w:t>区水利局</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仿宋_GB2312" w:eastAsia="仿宋_GB2312"/>
                <w:snapToGrid/>
                <w:sz w:val="22"/>
                <w:szCs w:val="22"/>
              </w:rPr>
            </w:pPr>
            <w:r>
              <w:rPr>
                <w:rFonts w:hint="eastAsia" w:ascii="仿宋_GB2312" w:eastAsia="仿宋_GB2312"/>
                <w:snapToGrid/>
                <w:sz w:val="22"/>
                <w:szCs w:val="22"/>
              </w:rPr>
              <w:t>企业自取水量（万立方米）</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仿宋_GB2312" w:eastAsia="仿宋_GB2312"/>
                <w:snapToGrid/>
                <w:sz w:val="22"/>
                <w:szCs w:val="22"/>
              </w:rPr>
            </w:pPr>
            <w:r>
              <w:rPr>
                <w:rFonts w:hint="eastAsia" w:ascii="仿宋_GB2312" w:eastAsia="仿宋_GB2312"/>
                <w:snapToGrid/>
                <w:sz w:val="22"/>
                <w:szCs w:val="22"/>
              </w:rPr>
              <w:t>每月</w:t>
            </w:r>
          </w:p>
        </w:tc>
      </w:tr>
      <w:tr>
        <w:tblPrEx>
          <w:tblCellMar>
            <w:top w:w="0" w:type="dxa"/>
            <w:left w:w="108" w:type="dxa"/>
            <w:bottom w:w="0" w:type="dxa"/>
            <w:right w:w="108" w:type="dxa"/>
          </w:tblCellMar>
        </w:tblPrEx>
        <w:trPr>
          <w:trHeight w:val="616"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Times New Roman" w:eastAsia="等线"/>
                <w:snapToGrid/>
                <w:sz w:val="22"/>
                <w:szCs w:val="22"/>
                <w:lang w:val="en-US" w:eastAsia="zh-CN"/>
              </w:rPr>
              <w:t>9</w:t>
            </w:r>
          </w:p>
        </w:tc>
        <w:tc>
          <w:tcPr>
            <w:tcW w:w="1540"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区应急局</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等线"/>
                <w:snapToGrid/>
                <w:sz w:val="22"/>
                <w:szCs w:val="22"/>
              </w:rPr>
            </w:pPr>
            <w:r>
              <w:rPr>
                <w:rFonts w:hint="eastAsia" w:ascii="仿宋_GB2312" w:eastAsia="仿宋_GB2312"/>
                <w:snapToGrid/>
                <w:sz w:val="22"/>
                <w:szCs w:val="22"/>
              </w:rPr>
              <w:t>一般安全事故（起数）、较大安全事故（起数）、重大及以上安全事故（起数）、安全生产标准化（一级、二级、三级名单）</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每年</w:t>
            </w:r>
          </w:p>
        </w:tc>
      </w:tr>
      <w:tr>
        <w:tblPrEx>
          <w:tblCellMar>
            <w:top w:w="0" w:type="dxa"/>
            <w:left w:w="108" w:type="dxa"/>
            <w:bottom w:w="0" w:type="dxa"/>
            <w:right w:w="108" w:type="dxa"/>
          </w:tblCellMar>
        </w:tblPrEx>
        <w:trPr>
          <w:trHeight w:val="683" w:hRule="atLeast"/>
        </w:trPr>
        <w:tc>
          <w:tcPr>
            <w:tcW w:w="715" w:type="dxa"/>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spacing w:line="240" w:lineRule="auto"/>
              <w:ind w:firstLine="0" w:firstLineChars="0"/>
              <w:jc w:val="center"/>
              <w:rPr>
                <w:rFonts w:ascii="Times New Roman" w:eastAsia="等线"/>
                <w:snapToGrid/>
                <w:sz w:val="22"/>
                <w:szCs w:val="22"/>
              </w:rPr>
            </w:pPr>
            <w:r>
              <w:rPr>
                <w:rFonts w:hint="eastAsia" w:ascii="Times New Roman" w:eastAsia="等线"/>
                <w:snapToGrid/>
                <w:sz w:val="22"/>
                <w:szCs w:val="22"/>
              </w:rPr>
              <w:t>10</w:t>
            </w:r>
          </w:p>
        </w:tc>
        <w:tc>
          <w:tcPr>
            <w:tcW w:w="1540" w:type="dxa"/>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区行政审批局</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仿宋_GB2312" w:hAnsi="等线" w:eastAsia="仿宋_GB2312" w:cs="宋体"/>
                <w:snapToGrid/>
                <w:sz w:val="22"/>
                <w:szCs w:val="22"/>
              </w:rPr>
            </w:pPr>
            <w:r>
              <w:rPr>
                <w:rFonts w:hint="eastAsia" w:ascii="仿宋_GB2312" w:hAnsi="等线" w:eastAsia="仿宋_GB2312" w:cs="宋体"/>
                <w:snapToGrid/>
                <w:sz w:val="22"/>
                <w:szCs w:val="22"/>
              </w:rPr>
              <w:t>年度新增和注销工业企业：住所（经营场所）、经营范围、设立时间、注销时间、企业类型、注册资本、法定代表人和联系方式；</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每年</w:t>
            </w:r>
          </w:p>
        </w:tc>
      </w:tr>
      <w:tr>
        <w:tblPrEx>
          <w:tblCellMar>
            <w:top w:w="0" w:type="dxa"/>
            <w:left w:w="108" w:type="dxa"/>
            <w:bottom w:w="0" w:type="dxa"/>
            <w:right w:w="108" w:type="dxa"/>
          </w:tblCellMar>
        </w:tblPrEx>
        <w:trPr>
          <w:trHeight w:val="510" w:hRule="atLeast"/>
        </w:trPr>
        <w:tc>
          <w:tcPr>
            <w:tcW w:w="715" w:type="dxa"/>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spacing w:line="240" w:lineRule="auto"/>
              <w:ind w:firstLine="0" w:firstLineChars="0"/>
              <w:jc w:val="center"/>
              <w:rPr>
                <w:rFonts w:ascii="Times New Roman" w:eastAsia="等线"/>
                <w:snapToGrid/>
                <w:sz w:val="22"/>
                <w:szCs w:val="22"/>
              </w:rPr>
            </w:pPr>
            <w:r>
              <w:rPr>
                <w:rFonts w:hint="eastAsia" w:ascii="Times New Roman" w:eastAsia="等线"/>
                <w:snapToGrid/>
                <w:sz w:val="22"/>
                <w:szCs w:val="22"/>
              </w:rPr>
              <w:t>11</w:t>
            </w:r>
          </w:p>
        </w:tc>
        <w:tc>
          <w:tcPr>
            <w:tcW w:w="1540" w:type="dxa"/>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spacing w:line="240" w:lineRule="auto"/>
              <w:ind w:firstLine="0"/>
              <w:jc w:val="left"/>
              <w:rPr>
                <w:rFonts w:ascii="Times New Roman" w:eastAsia="等线"/>
                <w:snapToGrid/>
                <w:sz w:val="22"/>
                <w:szCs w:val="22"/>
              </w:rPr>
            </w:pPr>
            <w:r>
              <w:rPr>
                <w:rFonts w:hint="eastAsia" w:ascii="仿宋_GB2312" w:eastAsia="仿宋_GB2312"/>
                <w:snapToGrid/>
                <w:sz w:val="22"/>
                <w:szCs w:val="22"/>
              </w:rPr>
              <w:t>区市场监管局</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等线"/>
                <w:snapToGrid/>
                <w:sz w:val="22"/>
                <w:szCs w:val="22"/>
              </w:rPr>
            </w:pPr>
            <w:r>
              <w:rPr>
                <w:rFonts w:hint="eastAsia" w:ascii="仿宋_GB2312" w:eastAsia="仿宋_GB2312"/>
                <w:snapToGrid/>
                <w:sz w:val="22"/>
                <w:szCs w:val="22"/>
              </w:rPr>
              <w:t>近一年内新增授权发明专利（件数）</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每年</w:t>
            </w:r>
          </w:p>
        </w:tc>
      </w:tr>
      <w:tr>
        <w:tblPrEx>
          <w:tblCellMar>
            <w:top w:w="0" w:type="dxa"/>
            <w:left w:w="108" w:type="dxa"/>
            <w:bottom w:w="0" w:type="dxa"/>
            <w:right w:w="108" w:type="dxa"/>
          </w:tblCellMar>
        </w:tblPrEx>
        <w:trPr>
          <w:trHeight w:val="397" w:hRule="atLeast"/>
        </w:trPr>
        <w:tc>
          <w:tcPr>
            <w:tcW w:w="71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firstLineChars="0"/>
              <w:jc w:val="center"/>
              <w:rPr>
                <w:rFonts w:ascii="Times New Roman" w:eastAsia="等线"/>
                <w:snapToGrid/>
                <w:sz w:val="22"/>
                <w:szCs w:val="22"/>
              </w:rPr>
            </w:pPr>
            <w:r>
              <w:rPr>
                <w:rFonts w:hint="eastAsia" w:ascii="Times New Roman" w:eastAsia="等线"/>
                <w:snapToGrid/>
                <w:sz w:val="22"/>
                <w:szCs w:val="22"/>
              </w:rPr>
              <w:t>12</w:t>
            </w:r>
          </w:p>
        </w:tc>
        <w:tc>
          <w:tcPr>
            <w:tcW w:w="1540"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color w:val="000000" w:themeColor="text1"/>
                <w:sz w:val="22"/>
                <w:szCs w:val="22"/>
              </w:rPr>
            </w:pPr>
            <w:r>
              <w:rPr>
                <w:rFonts w:hint="eastAsia" w:ascii="仿宋_GB2312" w:eastAsia="仿宋_GB2312"/>
                <w:snapToGrid/>
                <w:color w:val="000000" w:themeColor="text1"/>
                <w:sz w:val="22"/>
                <w:szCs w:val="22"/>
              </w:rPr>
              <w:t>区统计局</w:t>
            </w:r>
          </w:p>
        </w:tc>
        <w:tc>
          <w:tcPr>
            <w:tcW w:w="6562"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仿宋_GB2312"/>
                <w:snapToGrid/>
                <w:color w:val="000000" w:themeColor="text1"/>
                <w:sz w:val="22"/>
                <w:szCs w:val="22"/>
              </w:rPr>
            </w:pPr>
            <w:r>
              <w:rPr>
                <w:rFonts w:hint="eastAsia" w:ascii="仿宋_GB2312" w:eastAsia="仿宋_GB2312"/>
                <w:snapToGrid/>
                <w:color w:val="000000" w:themeColor="text1"/>
                <w:sz w:val="22"/>
                <w:szCs w:val="22"/>
              </w:rPr>
              <w:t>年度规上企业名单、综合能耗</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每年</w:t>
            </w:r>
          </w:p>
        </w:tc>
      </w:tr>
      <w:tr>
        <w:tblPrEx>
          <w:tblCellMar>
            <w:top w:w="0" w:type="dxa"/>
            <w:left w:w="108" w:type="dxa"/>
            <w:bottom w:w="0" w:type="dxa"/>
            <w:right w:w="108" w:type="dxa"/>
          </w:tblCellMar>
        </w:tblPrEx>
        <w:trPr>
          <w:trHeight w:val="712"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firstLineChars="0"/>
              <w:jc w:val="center"/>
              <w:rPr>
                <w:rFonts w:ascii="Times New Roman" w:eastAsia="等线"/>
                <w:snapToGrid/>
                <w:sz w:val="22"/>
                <w:szCs w:val="22"/>
              </w:rPr>
            </w:pPr>
            <w:r>
              <w:rPr>
                <w:rFonts w:ascii="Times New Roman" w:eastAsia="等线"/>
                <w:snapToGrid/>
                <w:sz w:val="22"/>
                <w:szCs w:val="22"/>
              </w:rPr>
              <w:t>1</w:t>
            </w:r>
            <w:r>
              <w:rPr>
                <w:rFonts w:hint="eastAsia" w:ascii="Times New Roman" w:eastAsia="等线"/>
                <w:snapToGrid/>
                <w:sz w:val="22"/>
                <w:szCs w:val="22"/>
              </w:rPr>
              <w:t>3</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区税务局</w:t>
            </w:r>
          </w:p>
        </w:tc>
        <w:tc>
          <w:tcPr>
            <w:tcW w:w="656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等线"/>
                <w:snapToGrid/>
                <w:sz w:val="22"/>
                <w:szCs w:val="22"/>
              </w:rPr>
            </w:pPr>
            <w:r>
              <w:rPr>
                <w:rFonts w:hint="eastAsia" w:ascii="仿宋_GB2312" w:eastAsia="仿宋_GB2312"/>
                <w:snapToGrid/>
                <w:sz w:val="22"/>
                <w:szCs w:val="22"/>
              </w:rPr>
              <w:t>行业代码、销售收入（万元）、实缴税金（万元）、环保税收（万元）</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每月</w:t>
            </w:r>
          </w:p>
        </w:tc>
      </w:tr>
      <w:tr>
        <w:tblPrEx>
          <w:tblCellMar>
            <w:top w:w="0" w:type="dxa"/>
            <w:left w:w="108" w:type="dxa"/>
            <w:bottom w:w="0" w:type="dxa"/>
            <w:right w:w="108" w:type="dxa"/>
          </w:tblCellMar>
        </w:tblPrEx>
        <w:trPr>
          <w:trHeight w:val="397"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firstLineChars="0"/>
              <w:jc w:val="center"/>
              <w:rPr>
                <w:rFonts w:ascii="Times New Roman" w:eastAsia="等线"/>
                <w:snapToGrid/>
                <w:sz w:val="22"/>
                <w:szCs w:val="22"/>
              </w:rPr>
            </w:pPr>
            <w:r>
              <w:rPr>
                <w:rFonts w:ascii="Times New Roman" w:eastAsia="等线"/>
                <w:snapToGrid/>
                <w:sz w:val="22"/>
                <w:szCs w:val="22"/>
              </w:rPr>
              <w:t>1</w:t>
            </w:r>
            <w:r>
              <w:rPr>
                <w:rFonts w:hint="eastAsia" w:ascii="Times New Roman" w:eastAsia="等线"/>
                <w:snapToGrid/>
                <w:sz w:val="22"/>
                <w:szCs w:val="22"/>
              </w:rPr>
              <w:t>4</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仿宋_GB2312" w:hAnsi="等线" w:eastAsia="仿宋_GB2312" w:cs="宋体"/>
                <w:snapToGrid/>
                <w:sz w:val="22"/>
                <w:szCs w:val="22"/>
              </w:rPr>
            </w:pPr>
            <w:r>
              <w:rPr>
                <w:rFonts w:hint="eastAsia" w:ascii="仿宋_GB2312" w:hAnsi="等线" w:eastAsia="仿宋_GB2312" w:cs="宋体"/>
                <w:snapToGrid/>
                <w:sz w:val="22"/>
                <w:szCs w:val="22"/>
              </w:rPr>
              <w:t>区供电公司</w:t>
            </w:r>
          </w:p>
        </w:tc>
        <w:tc>
          <w:tcPr>
            <w:tcW w:w="656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等线"/>
                <w:snapToGrid/>
                <w:sz w:val="22"/>
                <w:szCs w:val="22"/>
              </w:rPr>
            </w:pPr>
            <w:r>
              <w:rPr>
                <w:rFonts w:hint="eastAsia" w:ascii="Times New Roman" w:eastAsia="仿宋_GB2312"/>
                <w:snapToGrid/>
                <w:kern w:val="3"/>
                <w:sz w:val="22"/>
                <w:szCs w:val="22"/>
              </w:rPr>
              <w:t>审核</w:t>
            </w:r>
            <w:r>
              <w:rPr>
                <w:rFonts w:hint="eastAsia" w:ascii="仿宋_GB2312" w:eastAsia="仿宋_GB2312"/>
                <w:snapToGrid/>
                <w:sz w:val="22"/>
                <w:szCs w:val="22"/>
              </w:rPr>
              <w:t>企业用电量（万千瓦时），折算能耗（吨标煤）</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Times New Roman" w:eastAsia="等线"/>
                <w:snapToGrid/>
                <w:sz w:val="22"/>
                <w:szCs w:val="22"/>
              </w:rPr>
            </w:pPr>
            <w:r>
              <w:rPr>
                <w:rFonts w:hint="eastAsia" w:ascii="仿宋_GB2312" w:eastAsia="仿宋_GB2312"/>
                <w:snapToGrid/>
                <w:sz w:val="22"/>
                <w:szCs w:val="22"/>
              </w:rPr>
              <w:t>每月</w:t>
            </w:r>
          </w:p>
        </w:tc>
      </w:tr>
      <w:tr>
        <w:tblPrEx>
          <w:tblCellMar>
            <w:top w:w="0" w:type="dxa"/>
            <w:left w:w="108" w:type="dxa"/>
            <w:bottom w:w="0" w:type="dxa"/>
            <w:right w:w="108" w:type="dxa"/>
          </w:tblCellMar>
        </w:tblPrEx>
        <w:trPr>
          <w:trHeight w:val="590" w:hRule="atLeast"/>
        </w:trPr>
        <w:tc>
          <w:tcPr>
            <w:tcW w:w="715" w:type="dxa"/>
            <w:tcBorders>
              <w:top w:val="single" w:color="auto" w:sz="4" w:space="0"/>
              <w:left w:val="single" w:color="auto" w:sz="4" w:space="0"/>
              <w:right w:val="single" w:color="auto" w:sz="4" w:space="0"/>
            </w:tcBorders>
            <w:shd w:val="clear" w:color="auto" w:fill="auto"/>
            <w:noWrap/>
            <w:vAlign w:val="center"/>
          </w:tcPr>
          <w:p>
            <w:pPr>
              <w:widowControl/>
              <w:autoSpaceDE/>
              <w:autoSpaceDN/>
              <w:snapToGrid/>
              <w:spacing w:line="240" w:lineRule="auto"/>
              <w:ind w:firstLine="0" w:firstLineChars="0"/>
              <w:jc w:val="center"/>
              <w:rPr>
                <w:rFonts w:ascii="Times New Roman" w:eastAsia="等线"/>
                <w:snapToGrid/>
                <w:sz w:val="22"/>
                <w:szCs w:val="22"/>
              </w:rPr>
            </w:pPr>
            <w:r>
              <w:rPr>
                <w:rFonts w:ascii="Times New Roman" w:eastAsia="等线"/>
                <w:snapToGrid/>
                <w:sz w:val="22"/>
                <w:szCs w:val="22"/>
              </w:rPr>
              <w:t>1</w:t>
            </w:r>
            <w:r>
              <w:rPr>
                <w:rFonts w:hint="eastAsia" w:ascii="Times New Roman" w:eastAsia="等线"/>
                <w:snapToGrid/>
                <w:sz w:val="22"/>
                <w:szCs w:val="22"/>
              </w:rPr>
              <w:t>5</w:t>
            </w:r>
          </w:p>
        </w:tc>
        <w:tc>
          <w:tcPr>
            <w:tcW w:w="1540" w:type="dxa"/>
            <w:tcBorders>
              <w:top w:val="single" w:color="auto" w:sz="4" w:space="0"/>
              <w:left w:val="nil"/>
              <w:right w:val="single" w:color="auto" w:sz="4" w:space="0"/>
            </w:tcBorders>
            <w:shd w:val="clear" w:color="auto" w:fill="auto"/>
            <w:noWrap/>
            <w:vAlign w:val="center"/>
          </w:tcPr>
          <w:p>
            <w:pPr>
              <w:widowControl/>
              <w:autoSpaceDE/>
              <w:autoSpaceDN/>
              <w:snapToGrid/>
              <w:spacing w:line="240" w:lineRule="auto"/>
              <w:ind w:firstLine="0"/>
              <w:jc w:val="center"/>
              <w:rPr>
                <w:rFonts w:ascii="仿宋_GB2312" w:hAnsi="等线" w:eastAsia="仿宋_GB2312" w:cs="宋体"/>
                <w:snapToGrid/>
                <w:sz w:val="22"/>
                <w:szCs w:val="22"/>
              </w:rPr>
            </w:pPr>
            <w:r>
              <w:rPr>
                <w:rFonts w:hint="eastAsia" w:ascii="仿宋_GB2312" w:hAnsi="等线" w:eastAsia="仿宋_GB2312" w:cs="宋体"/>
                <w:snapToGrid/>
                <w:sz w:val="22"/>
                <w:szCs w:val="22"/>
              </w:rPr>
              <w:t>各镇（园区）</w:t>
            </w:r>
          </w:p>
        </w:tc>
        <w:tc>
          <w:tcPr>
            <w:tcW w:w="656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napToGrid/>
              <w:spacing w:line="220" w:lineRule="exact"/>
              <w:ind w:firstLine="0"/>
              <w:jc w:val="left"/>
              <w:rPr>
                <w:rFonts w:ascii="Times New Roman" w:eastAsia="仿宋_GB2312"/>
                <w:snapToGrid/>
                <w:kern w:val="3"/>
                <w:sz w:val="22"/>
                <w:szCs w:val="22"/>
              </w:rPr>
            </w:pPr>
            <w:r>
              <w:rPr>
                <w:rFonts w:hint="eastAsia" w:ascii="Times New Roman" w:eastAsia="仿宋_GB2312"/>
                <w:snapToGrid/>
                <w:kern w:val="3"/>
                <w:sz w:val="22"/>
                <w:szCs w:val="22"/>
              </w:rPr>
              <w:t>工业企业（含规下）名单、</w:t>
            </w:r>
            <w:r>
              <w:rPr>
                <w:rFonts w:hint="eastAsia" w:ascii="仿宋_GB2312" w:eastAsia="仿宋_GB2312"/>
                <w:snapToGrid/>
                <w:color w:val="000000" w:themeColor="text1"/>
                <w:sz w:val="22"/>
                <w:szCs w:val="22"/>
              </w:rPr>
              <w:t>综合能耗、</w:t>
            </w:r>
            <w:r>
              <w:rPr>
                <w:rFonts w:hint="eastAsia" w:ascii="仿宋_GB2312" w:eastAsia="仿宋_GB2312"/>
                <w:snapToGrid/>
                <w:sz w:val="22"/>
                <w:szCs w:val="22"/>
              </w:rPr>
              <w:t>占地面积（亩）、其中持证（亩）等</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ascii="仿宋_GB2312" w:eastAsia="仿宋_GB2312"/>
                <w:snapToGrid/>
                <w:sz w:val="22"/>
                <w:szCs w:val="22"/>
              </w:rPr>
            </w:pPr>
            <w:r>
              <w:rPr>
                <w:rFonts w:hint="eastAsia" w:ascii="仿宋_GB2312" w:eastAsia="仿宋_GB2312"/>
                <w:snapToGrid/>
                <w:sz w:val="22"/>
                <w:szCs w:val="22"/>
              </w:rPr>
              <w:t>每年</w:t>
            </w:r>
          </w:p>
        </w:tc>
      </w:tr>
      <w:tr>
        <w:tblPrEx>
          <w:tblCellMar>
            <w:top w:w="0" w:type="dxa"/>
            <w:left w:w="108" w:type="dxa"/>
            <w:bottom w:w="0" w:type="dxa"/>
            <w:right w:w="108" w:type="dxa"/>
          </w:tblCellMar>
        </w:tblPrEx>
        <w:trPr>
          <w:trHeight w:val="1005" w:hRule="atLeast"/>
        </w:trPr>
        <w:tc>
          <w:tcPr>
            <w:tcW w:w="9535" w:type="dxa"/>
            <w:gridSpan w:val="4"/>
            <w:tcBorders>
              <w:top w:val="single" w:color="auto" w:sz="4" w:space="0"/>
              <w:left w:val="nil"/>
              <w:bottom w:val="nil"/>
              <w:right w:val="nil"/>
            </w:tcBorders>
            <w:shd w:val="clear" w:color="auto" w:fill="auto"/>
            <w:noWrap/>
            <w:vAlign w:val="center"/>
          </w:tcPr>
          <w:p>
            <w:pPr>
              <w:widowControl/>
              <w:autoSpaceDE/>
              <w:autoSpaceDN/>
              <w:snapToGrid/>
              <w:spacing w:line="240" w:lineRule="auto"/>
              <w:ind w:firstLine="216" w:firstLineChars="100"/>
              <w:jc w:val="left"/>
              <w:rPr>
                <w:rFonts w:ascii="楷体_GB2312" w:hAnsi="等线" w:eastAsia="楷体_GB2312" w:cs="宋体"/>
                <w:snapToGrid/>
                <w:sz w:val="22"/>
                <w:szCs w:val="22"/>
              </w:rPr>
            </w:pPr>
            <w:r>
              <w:rPr>
                <w:rFonts w:hint="eastAsia" w:ascii="楷体_GB2312" w:hAnsi="等线" w:eastAsia="楷体_GB2312" w:cs="宋体"/>
                <w:snapToGrid/>
                <w:sz w:val="22"/>
                <w:szCs w:val="22"/>
              </w:rPr>
              <w:t>备注：1.“统一社会信用代码、企业名称、县（区）、镇(园区)”为固定数据项，每个数据均须与其相对应；</w:t>
            </w:r>
          </w:p>
          <w:p>
            <w:pPr>
              <w:widowControl/>
              <w:autoSpaceDE/>
              <w:autoSpaceDN/>
              <w:snapToGrid/>
              <w:spacing w:line="240" w:lineRule="auto"/>
              <w:ind w:firstLine="864" w:firstLineChars="400"/>
              <w:jc w:val="left"/>
              <w:rPr>
                <w:rFonts w:ascii="楷体_GB2312" w:hAnsi="等线" w:eastAsia="楷体_GB2312" w:cs="宋体"/>
                <w:snapToGrid/>
                <w:sz w:val="22"/>
                <w:szCs w:val="22"/>
              </w:rPr>
            </w:pPr>
            <w:r>
              <w:rPr>
                <w:rFonts w:hint="eastAsia" w:ascii="楷体_GB2312" w:hAnsi="等线" w:eastAsia="楷体_GB2312" w:cs="宋体"/>
                <w:snapToGrid/>
                <w:sz w:val="22"/>
                <w:szCs w:val="22"/>
              </w:rPr>
              <w:t>2.除区科技局、区工信局、区自然资源局、区市场监管局、区人社局，其他各部门提供的数值类（金额类）数据为月累计数。</w:t>
            </w:r>
          </w:p>
        </w:tc>
      </w:tr>
    </w:tbl>
    <w:p>
      <w:pPr>
        <w:spacing w:line="560" w:lineRule="exact"/>
        <w:ind w:firstLine="0"/>
        <w:rPr>
          <w:rFonts w:ascii="Times New Roman" w:eastAsia="仿宋_GB2312"/>
          <w:szCs w:val="32"/>
        </w:rPr>
        <w:sectPr>
          <w:headerReference r:id="rId5" w:type="default"/>
          <w:footerReference r:id="rId6" w:type="default"/>
          <w:pgSz w:w="11906" w:h="16838"/>
          <w:pgMar w:top="1814" w:right="1531" w:bottom="1985" w:left="1531" w:header="851" w:footer="1474" w:gutter="0"/>
          <w:pgNumType w:start="1"/>
          <w:cols w:space="720" w:num="1"/>
          <w:docGrid w:type="linesAndChars" w:linePitch="590" w:charSpace="-1024"/>
        </w:sectPr>
      </w:pPr>
    </w:p>
    <w:p>
      <w:pPr>
        <w:spacing w:line="560" w:lineRule="exact"/>
        <w:ind w:firstLine="0"/>
        <w:rPr>
          <w:rFonts w:hint="eastAsia" w:ascii="Times New Roman" w:eastAsia="仿宋_GB2312"/>
          <w:szCs w:val="32"/>
        </w:rPr>
      </w:pPr>
      <w:r>
        <w:rPr>
          <w:rFonts w:hint="eastAsia" w:ascii="Times New Roman" w:eastAsia="仿宋_GB2312"/>
          <w:szCs w:val="32"/>
        </w:rPr>
        <w:t>附件4</w:t>
      </w:r>
    </w:p>
    <w:p>
      <w:pPr>
        <w:spacing w:line="560" w:lineRule="exact"/>
        <w:ind w:firstLine="0"/>
        <w:jc w:val="center"/>
        <w:rPr>
          <w:rFonts w:hint="eastAsia" w:ascii="方正小标宋简体" w:eastAsia="方正小标宋简体"/>
          <w:sz w:val="44"/>
          <w:szCs w:val="44"/>
        </w:rPr>
      </w:pPr>
      <w:r>
        <w:rPr>
          <w:rFonts w:hint="eastAsia" w:ascii="方正小标宋简体" w:eastAsia="方正小标宋简体"/>
          <w:sz w:val="44"/>
          <w:szCs w:val="44"/>
        </w:rPr>
        <w:t>数据采集样表（根据市信息系统动态调整）</w:t>
      </w:r>
    </w:p>
    <w:tbl>
      <w:tblPr>
        <w:tblStyle w:val="9"/>
        <w:tblW w:w="13073" w:type="dxa"/>
        <w:tblInd w:w="0" w:type="dxa"/>
        <w:tblLayout w:type="fixed"/>
        <w:tblCellMar>
          <w:top w:w="0" w:type="dxa"/>
          <w:left w:w="0" w:type="dxa"/>
          <w:bottom w:w="0" w:type="dxa"/>
          <w:right w:w="0" w:type="dxa"/>
        </w:tblCellMar>
      </w:tblPr>
      <w:tblGrid>
        <w:gridCol w:w="908"/>
        <w:gridCol w:w="900"/>
        <w:gridCol w:w="3262"/>
        <w:gridCol w:w="1395"/>
        <w:gridCol w:w="1283"/>
        <w:gridCol w:w="1507"/>
        <w:gridCol w:w="1463"/>
        <w:gridCol w:w="2355"/>
      </w:tblGrid>
      <w:tr>
        <w:tblPrEx>
          <w:tblCellMar>
            <w:top w:w="0" w:type="dxa"/>
            <w:left w:w="0" w:type="dxa"/>
            <w:bottom w:w="0" w:type="dxa"/>
            <w:right w:w="0" w:type="dxa"/>
          </w:tblCellMar>
        </w:tblPrEx>
        <w:trPr>
          <w:trHeight w:val="450" w:hRule="atLeast"/>
        </w:trPr>
        <w:tc>
          <w:tcPr>
            <w:tcW w:w="13073" w:type="dxa"/>
            <w:gridSpan w:val="8"/>
            <w:tcBorders>
              <w:top w:val="nil"/>
              <w:left w:val="nil"/>
              <w:bottom w:val="nil"/>
              <w:right w:val="nil"/>
            </w:tcBorders>
            <w:shd w:val="clear" w:color="auto" w:fill="auto"/>
            <w:noWrap/>
            <w:tcMar>
              <w:top w:w="15" w:type="dxa"/>
              <w:left w:w="15" w:type="dxa"/>
              <w:right w:w="15" w:type="dxa"/>
            </w:tcMar>
            <w:vAlign w:val="center"/>
          </w:tcPr>
          <w:p>
            <w:pPr>
              <w:widowControl/>
              <w:jc w:val="both"/>
              <w:textAlignment w:val="center"/>
              <w:rPr>
                <w:rFonts w:hint="eastAsia" w:ascii="仿宋_GB2312" w:hAnsi="宋体" w:eastAsia="仿宋_GB2312" w:cs="宋体"/>
                <w:b/>
                <w:color w:val="000000"/>
                <w:sz w:val="32"/>
                <w:szCs w:val="32"/>
              </w:rPr>
            </w:pPr>
            <w:r>
              <w:rPr>
                <w:rFonts w:hint="eastAsia" w:ascii="仿宋_GB2312" w:eastAsia="仿宋_GB2312"/>
                <w:snapToGrid/>
                <w:kern w:val="3"/>
                <w:sz w:val="32"/>
                <w:szCs w:val="32"/>
              </w:rPr>
              <w:t>1.企业严重失信记录统计表（区发改委提供）</w:t>
            </w:r>
          </w:p>
        </w:tc>
      </w:tr>
      <w:tr>
        <w:tblPrEx>
          <w:tblCellMar>
            <w:top w:w="0" w:type="dxa"/>
            <w:left w:w="0" w:type="dxa"/>
            <w:bottom w:w="0" w:type="dxa"/>
            <w:right w:w="0" w:type="dxa"/>
          </w:tblCellMar>
        </w:tblPrEx>
        <w:trPr>
          <w:trHeight w:val="28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3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市县区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是否存在</w:t>
            </w:r>
            <w:r>
              <w:rPr>
                <w:rFonts w:ascii="等线" w:hAnsi="等线" w:eastAsia="等线" w:cs="等线"/>
                <w:color w:val="000000"/>
                <w:sz w:val="21"/>
                <w:szCs w:val="21"/>
              </w:rPr>
              <w:t>未经修复的严重失信记录</w:t>
            </w:r>
          </w:p>
        </w:tc>
      </w:tr>
      <w:tr>
        <w:tblPrEx>
          <w:tblCellMar>
            <w:top w:w="0" w:type="dxa"/>
            <w:left w:w="0" w:type="dxa"/>
            <w:bottom w:w="0" w:type="dxa"/>
            <w:right w:w="0" w:type="dxa"/>
          </w:tblCellMar>
        </w:tblPrEx>
        <w:trPr>
          <w:trHeight w:val="28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3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r>
    </w:tbl>
    <w:p>
      <w:pPr>
        <w:widowControl/>
        <w:spacing w:line="590" w:lineRule="atLeast"/>
        <w:ind w:firstLine="624"/>
        <w:textAlignment w:val="center"/>
        <w:rPr>
          <w:rFonts w:ascii="Times New Roman" w:eastAsia="仿宋_GB2312"/>
          <w:szCs w:val="32"/>
        </w:rPr>
      </w:pPr>
    </w:p>
    <w:p>
      <w:pPr>
        <w:widowControl/>
        <w:spacing w:line="590" w:lineRule="atLeast"/>
        <w:ind w:firstLine="624"/>
        <w:textAlignment w:val="center"/>
        <w:rPr>
          <w:rFonts w:ascii="Times New Roman" w:eastAsia="仿宋_GB2312"/>
          <w:szCs w:val="32"/>
        </w:rPr>
      </w:pPr>
    </w:p>
    <w:tbl>
      <w:tblPr>
        <w:tblStyle w:val="9"/>
        <w:tblW w:w="13069" w:type="dxa"/>
        <w:tblInd w:w="0" w:type="dxa"/>
        <w:tblLayout w:type="fixed"/>
        <w:tblCellMar>
          <w:top w:w="0" w:type="dxa"/>
          <w:left w:w="0" w:type="dxa"/>
          <w:bottom w:w="0" w:type="dxa"/>
          <w:right w:w="0" w:type="dxa"/>
        </w:tblCellMar>
      </w:tblPr>
      <w:tblGrid>
        <w:gridCol w:w="393"/>
        <w:gridCol w:w="490"/>
        <w:gridCol w:w="1186"/>
        <w:gridCol w:w="456"/>
        <w:gridCol w:w="400"/>
        <w:gridCol w:w="400"/>
        <w:gridCol w:w="410"/>
        <w:gridCol w:w="1076"/>
        <w:gridCol w:w="1046"/>
        <w:gridCol w:w="1049"/>
        <w:gridCol w:w="1624"/>
        <w:gridCol w:w="1432"/>
        <w:gridCol w:w="1745"/>
        <w:gridCol w:w="1362"/>
      </w:tblGrid>
      <w:tr>
        <w:tblPrEx>
          <w:tblCellMar>
            <w:top w:w="0" w:type="dxa"/>
            <w:left w:w="0" w:type="dxa"/>
            <w:bottom w:w="0" w:type="dxa"/>
            <w:right w:w="0" w:type="dxa"/>
          </w:tblCellMar>
        </w:tblPrEx>
        <w:trPr>
          <w:trHeight w:val="450" w:hRule="atLeast"/>
        </w:trPr>
        <w:tc>
          <w:tcPr>
            <w:tcW w:w="13069" w:type="dxa"/>
            <w:gridSpan w:val="14"/>
            <w:tcBorders>
              <w:top w:val="nil"/>
              <w:left w:val="nil"/>
              <w:bottom w:val="nil"/>
              <w:right w:val="nil"/>
            </w:tcBorders>
            <w:shd w:val="clear" w:color="auto" w:fill="auto"/>
            <w:noWrap/>
            <w:tcMar>
              <w:top w:w="15" w:type="dxa"/>
              <w:left w:w="15" w:type="dxa"/>
              <w:right w:w="15" w:type="dxa"/>
            </w:tcMar>
            <w:vAlign w:val="bottom"/>
          </w:tcPr>
          <w:p>
            <w:pPr>
              <w:widowControl/>
              <w:jc w:val="both"/>
              <w:textAlignment w:val="center"/>
              <w:rPr>
                <w:rFonts w:ascii="宋体" w:hAnsi="宋体" w:eastAsia="宋体" w:cs="宋体"/>
                <w:b/>
                <w:color w:val="000000"/>
                <w:sz w:val="36"/>
                <w:szCs w:val="36"/>
              </w:rPr>
            </w:pPr>
            <w:r>
              <w:rPr>
                <w:rFonts w:hint="eastAsia" w:ascii="仿宋_GB2312" w:eastAsia="仿宋_GB2312"/>
                <w:snapToGrid/>
                <w:kern w:val="3"/>
                <w:sz w:val="32"/>
                <w:szCs w:val="32"/>
              </w:rPr>
              <w:t>2.企业科技信息表（区科技局提供）</w:t>
            </w:r>
          </w:p>
        </w:tc>
      </w:tr>
      <w:tr>
        <w:tblPrEx>
          <w:tblCellMar>
            <w:top w:w="0" w:type="dxa"/>
            <w:left w:w="0" w:type="dxa"/>
            <w:bottom w:w="0" w:type="dxa"/>
            <w:right w:w="0" w:type="dxa"/>
          </w:tblCellMar>
        </w:tblPrEx>
        <w:trPr>
          <w:trHeight w:val="1080"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县市区</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是否高新技术企业</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研发机构等级</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荣誉</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（牌子）</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国家、省市级研发平台、创新平台</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国家、省市级科技项目</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是否江苏省创新型领军企业</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是否市高新技术培育库企业</w:t>
            </w:r>
          </w:p>
        </w:tc>
      </w:tr>
      <w:tr>
        <w:tblPrEx>
          <w:tblCellMar>
            <w:top w:w="0" w:type="dxa"/>
            <w:left w:w="0" w:type="dxa"/>
            <w:bottom w:w="0" w:type="dxa"/>
            <w:right w:w="0" w:type="dxa"/>
          </w:tblCellMar>
        </w:tblPrEx>
        <w:trPr>
          <w:trHeight w:val="1080"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r>
    </w:tbl>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tbl>
      <w:tblPr>
        <w:tblStyle w:val="9"/>
        <w:tblW w:w="13073" w:type="dxa"/>
        <w:tblInd w:w="0" w:type="dxa"/>
        <w:tblLayout w:type="fixed"/>
        <w:tblCellMar>
          <w:top w:w="0" w:type="dxa"/>
          <w:left w:w="0" w:type="dxa"/>
          <w:bottom w:w="0" w:type="dxa"/>
          <w:right w:w="0" w:type="dxa"/>
        </w:tblCellMar>
      </w:tblPr>
      <w:tblGrid>
        <w:gridCol w:w="888"/>
        <w:gridCol w:w="888"/>
        <w:gridCol w:w="1034"/>
        <w:gridCol w:w="937"/>
        <w:gridCol w:w="686"/>
        <w:gridCol w:w="855"/>
        <w:gridCol w:w="735"/>
        <w:gridCol w:w="1545"/>
        <w:gridCol w:w="1034"/>
        <w:gridCol w:w="1107"/>
        <w:gridCol w:w="1204"/>
        <w:gridCol w:w="1052"/>
        <w:gridCol w:w="1108"/>
      </w:tblGrid>
      <w:tr>
        <w:tblPrEx>
          <w:tblCellMar>
            <w:top w:w="0" w:type="dxa"/>
            <w:left w:w="0" w:type="dxa"/>
            <w:bottom w:w="0" w:type="dxa"/>
            <w:right w:w="0" w:type="dxa"/>
          </w:tblCellMar>
        </w:tblPrEx>
        <w:trPr>
          <w:trHeight w:val="450" w:hRule="atLeast"/>
        </w:trPr>
        <w:tc>
          <w:tcPr>
            <w:tcW w:w="13073"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36"/>
                <w:szCs w:val="36"/>
              </w:rPr>
            </w:pPr>
            <w:r>
              <w:rPr>
                <w:rFonts w:hint="eastAsia" w:ascii="仿宋_GB2312" w:eastAsia="仿宋_GB2312"/>
                <w:snapToGrid/>
                <w:kern w:val="3"/>
                <w:szCs w:val="32"/>
              </w:rPr>
              <w:t>3.</w:t>
            </w:r>
            <w:r>
              <w:rPr>
                <w:rFonts w:hint="eastAsia" w:ascii="仿宋_GB2312" w:eastAsia="仿宋_GB2312"/>
                <w:snapToGrid/>
                <w:kern w:val="3"/>
                <w:sz w:val="32"/>
                <w:szCs w:val="32"/>
              </w:rPr>
              <w:t>企业信息统计表（区工信局提供）</w:t>
            </w:r>
          </w:p>
        </w:tc>
      </w:tr>
      <w:tr>
        <w:tblPrEx>
          <w:tblCellMar>
            <w:top w:w="0" w:type="dxa"/>
            <w:left w:w="0" w:type="dxa"/>
            <w:bottom w:w="0" w:type="dxa"/>
            <w:right w:w="0" w:type="dxa"/>
          </w:tblCellMar>
        </w:tblPrEx>
        <w:trPr>
          <w:trHeight w:val="13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县市区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是否国家、省专精特新小巨人</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是否单项冠军企业</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是否服务型制造示范企业</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是否互联网试点示范</w:t>
            </w:r>
          </w:p>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（标杆工厂）</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是否星级上云企业</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是否智能工厂（车间）</w:t>
            </w:r>
          </w:p>
        </w:tc>
      </w:tr>
      <w:tr>
        <w:tblPrEx>
          <w:tblCellMar>
            <w:top w:w="0" w:type="dxa"/>
            <w:left w:w="0" w:type="dxa"/>
            <w:bottom w:w="0" w:type="dxa"/>
            <w:right w:w="0" w:type="dxa"/>
          </w:tblCellMar>
        </w:tblPrEx>
        <w:trPr>
          <w:trHeight w:val="13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r>
    </w:tbl>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tbl>
      <w:tblPr>
        <w:tblStyle w:val="9"/>
        <w:tblW w:w="13358" w:type="dxa"/>
        <w:tblInd w:w="0" w:type="dxa"/>
        <w:tblLayout w:type="fixed"/>
        <w:tblCellMar>
          <w:top w:w="0" w:type="dxa"/>
          <w:left w:w="0" w:type="dxa"/>
          <w:bottom w:w="0" w:type="dxa"/>
          <w:right w:w="0" w:type="dxa"/>
        </w:tblCellMar>
      </w:tblPr>
      <w:tblGrid>
        <w:gridCol w:w="1178"/>
        <w:gridCol w:w="1365"/>
        <w:gridCol w:w="1813"/>
        <w:gridCol w:w="1452"/>
        <w:gridCol w:w="1453"/>
        <w:gridCol w:w="1452"/>
        <w:gridCol w:w="1452"/>
        <w:gridCol w:w="1452"/>
        <w:gridCol w:w="1741"/>
      </w:tblGrid>
      <w:tr>
        <w:trPr>
          <w:trHeight w:val="450" w:hRule="atLeast"/>
        </w:trPr>
        <w:tc>
          <w:tcPr>
            <w:tcW w:w="13358" w:type="dxa"/>
            <w:gridSpan w:val="9"/>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4.企业人员信息表（区人社局提供）</w:t>
            </w:r>
          </w:p>
        </w:tc>
      </w:tr>
      <w:tr>
        <w:tblPrEx>
          <w:tblCellMar>
            <w:top w:w="0" w:type="dxa"/>
            <w:left w:w="0" w:type="dxa"/>
            <w:bottom w:w="0" w:type="dxa"/>
            <w:right w:w="0" w:type="dxa"/>
          </w:tblCellMar>
        </w:tblPrEx>
        <w:trPr>
          <w:trHeight w:val="51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县市区</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企业职工人数</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参保职工人数</w:t>
            </w:r>
          </w:p>
        </w:tc>
      </w:tr>
      <w:tr>
        <w:tblPrEx>
          <w:tblCellMar>
            <w:top w:w="0" w:type="dxa"/>
            <w:left w:w="0" w:type="dxa"/>
            <w:bottom w:w="0" w:type="dxa"/>
            <w:right w:w="0" w:type="dxa"/>
          </w:tblCellMar>
        </w:tblPrEx>
        <w:trPr>
          <w:trHeight w:val="51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r>
    </w:tbl>
    <w:p>
      <w:pPr>
        <w:spacing w:line="560" w:lineRule="exact"/>
        <w:ind w:firstLine="0"/>
        <w:rPr>
          <w:rFonts w:ascii="Times New Roman" w:eastAsia="仿宋_GB2312"/>
          <w:szCs w:val="32"/>
        </w:rPr>
      </w:pPr>
    </w:p>
    <w:tbl>
      <w:tblPr>
        <w:tblStyle w:val="9"/>
        <w:tblpPr w:leftFromText="180" w:rightFromText="180" w:vertAnchor="text" w:horzAnchor="page" w:tblpX="1979" w:tblpY="546"/>
        <w:tblOverlap w:val="never"/>
        <w:tblW w:w="13069" w:type="dxa"/>
        <w:tblInd w:w="0" w:type="dxa"/>
        <w:tblLayout w:type="fixed"/>
        <w:tblCellMar>
          <w:top w:w="0" w:type="dxa"/>
          <w:left w:w="0" w:type="dxa"/>
          <w:bottom w:w="0" w:type="dxa"/>
          <w:right w:w="0" w:type="dxa"/>
        </w:tblCellMar>
      </w:tblPr>
      <w:tblGrid>
        <w:gridCol w:w="474"/>
        <w:gridCol w:w="475"/>
        <w:gridCol w:w="1886"/>
        <w:gridCol w:w="917"/>
        <w:gridCol w:w="253"/>
        <w:gridCol w:w="696"/>
        <w:gridCol w:w="959"/>
        <w:gridCol w:w="959"/>
        <w:gridCol w:w="1191"/>
        <w:gridCol w:w="959"/>
        <w:gridCol w:w="959"/>
        <w:gridCol w:w="1423"/>
        <w:gridCol w:w="959"/>
        <w:gridCol w:w="959"/>
      </w:tblGrid>
      <w:tr>
        <w:tblPrEx>
          <w:tblCellMar>
            <w:top w:w="0" w:type="dxa"/>
            <w:left w:w="0" w:type="dxa"/>
            <w:bottom w:w="0" w:type="dxa"/>
            <w:right w:w="0" w:type="dxa"/>
          </w:tblCellMar>
        </w:tblPrEx>
        <w:trPr>
          <w:trHeight w:val="450" w:hRule="atLeast"/>
        </w:trPr>
        <w:tc>
          <w:tcPr>
            <w:tcW w:w="13069" w:type="dxa"/>
            <w:gridSpan w:val="1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36"/>
                <w:szCs w:val="36"/>
              </w:rPr>
            </w:pPr>
            <w:r>
              <w:rPr>
                <w:rFonts w:hint="eastAsia" w:ascii="仿宋_GB2312" w:eastAsia="仿宋_GB2312"/>
                <w:snapToGrid/>
                <w:kern w:val="3"/>
                <w:sz w:val="32"/>
                <w:szCs w:val="32"/>
              </w:rPr>
              <w:t>5.企业用地数据表（区自然资源局提供）</w:t>
            </w:r>
          </w:p>
        </w:tc>
      </w:tr>
      <w:tr>
        <w:tblPrEx>
          <w:tblCellMar>
            <w:top w:w="0" w:type="dxa"/>
            <w:left w:w="0" w:type="dxa"/>
            <w:bottom w:w="0" w:type="dxa"/>
            <w:right w:w="0" w:type="dxa"/>
          </w:tblCellMar>
        </w:tblPrEx>
        <w:trPr>
          <w:trHeight w:val="5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统一社会信用代码</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市县区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用地位置</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占地面积</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（公顷）</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持证面积</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（平方米）</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供应方式</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出让年限</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空间地理信息</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权属性质</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批准用途</w:t>
            </w:r>
          </w:p>
        </w:tc>
      </w:tr>
      <w:tr>
        <w:tblPrEx>
          <w:tblCellMar>
            <w:top w:w="0" w:type="dxa"/>
            <w:left w:w="0" w:type="dxa"/>
            <w:bottom w:w="0" w:type="dxa"/>
            <w:right w:w="0" w:type="dxa"/>
          </w:tblCellMar>
        </w:tblPrEx>
        <w:trPr>
          <w:trHeight w:val="5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r>
    </w:tbl>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tbl>
      <w:tblPr>
        <w:tblStyle w:val="9"/>
        <w:tblW w:w="13069" w:type="dxa"/>
        <w:tblInd w:w="0" w:type="dxa"/>
        <w:tblLayout w:type="fixed"/>
        <w:tblCellMar>
          <w:top w:w="0" w:type="dxa"/>
          <w:left w:w="0" w:type="dxa"/>
          <w:bottom w:w="0" w:type="dxa"/>
          <w:right w:w="0" w:type="dxa"/>
        </w:tblCellMar>
      </w:tblPr>
      <w:tblGrid>
        <w:gridCol w:w="473"/>
        <w:gridCol w:w="480"/>
        <w:gridCol w:w="960"/>
        <w:gridCol w:w="990"/>
        <w:gridCol w:w="480"/>
        <w:gridCol w:w="870"/>
        <w:gridCol w:w="645"/>
        <w:gridCol w:w="1395"/>
        <w:gridCol w:w="931"/>
        <w:gridCol w:w="835"/>
        <w:gridCol w:w="724"/>
        <w:gridCol w:w="946"/>
        <w:gridCol w:w="835"/>
        <w:gridCol w:w="835"/>
        <w:gridCol w:w="835"/>
        <w:gridCol w:w="835"/>
      </w:tblGrid>
      <w:tr>
        <w:tblPrEx>
          <w:tblCellMar>
            <w:top w:w="0" w:type="dxa"/>
            <w:left w:w="0" w:type="dxa"/>
            <w:bottom w:w="0" w:type="dxa"/>
            <w:right w:w="0" w:type="dxa"/>
          </w:tblCellMar>
        </w:tblPrEx>
        <w:trPr>
          <w:trHeight w:val="450" w:hRule="atLeast"/>
        </w:trPr>
        <w:tc>
          <w:tcPr>
            <w:tcW w:w="13069" w:type="dxa"/>
            <w:gridSpan w:val="16"/>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6.企业排污数据表（赣榆生态环境局提供）</w:t>
            </w:r>
          </w:p>
        </w:tc>
      </w:tr>
      <w:tr>
        <w:tblPrEx>
          <w:tblCellMar>
            <w:top w:w="0" w:type="dxa"/>
            <w:left w:w="0" w:type="dxa"/>
            <w:bottom w:w="0" w:type="dxa"/>
            <w:right w:w="0" w:type="dxa"/>
          </w:tblCellMar>
        </w:tblPrEx>
        <w:trPr>
          <w:trHeight w:val="102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年度</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月份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统一社会信用代码</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单位名称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市县区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区域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单位主要污染物排放总当量</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22"/>
                <w:szCs w:val="22"/>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22"/>
                <w:szCs w:val="22"/>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22"/>
                <w:szCs w:val="22"/>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22"/>
                <w:szCs w:val="22"/>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22"/>
                <w:szCs w:val="22"/>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22"/>
                <w:szCs w:val="22"/>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104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szCs w:val="22"/>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szCs w:val="22"/>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szCs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333333"/>
                <w:sz w:val="20"/>
              </w:rPr>
            </w:pPr>
            <w:r>
              <w:rPr>
                <w:rFonts w:hint="eastAsia" w:ascii="宋体" w:hAnsi="宋体" w:eastAsia="宋体" w:cs="宋体"/>
                <w:color w:val="333333"/>
                <w:sz w:val="20"/>
              </w:rPr>
              <w:t>化学需氧量排放量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333333"/>
                <w:sz w:val="20"/>
              </w:rPr>
            </w:pPr>
            <w:r>
              <w:rPr>
                <w:rFonts w:hint="eastAsia" w:ascii="宋体" w:hAnsi="宋体" w:eastAsia="宋体" w:cs="宋体"/>
                <w:color w:val="333333"/>
                <w:sz w:val="20"/>
              </w:rPr>
              <w:t>化学需氧量当量</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333333"/>
                <w:sz w:val="20"/>
              </w:rPr>
            </w:pPr>
            <w:r>
              <w:rPr>
                <w:rFonts w:hint="eastAsia" w:ascii="宋体" w:hAnsi="宋体" w:eastAsia="宋体" w:cs="宋体"/>
                <w:color w:val="333333"/>
                <w:sz w:val="20"/>
              </w:rPr>
              <w:t>氨氮排放量</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333333"/>
                <w:sz w:val="20"/>
              </w:rPr>
            </w:pPr>
            <w:r>
              <w:rPr>
                <w:rFonts w:hint="eastAsia" w:ascii="宋体" w:hAnsi="宋体" w:eastAsia="宋体" w:cs="宋体"/>
                <w:color w:val="333333"/>
                <w:sz w:val="20"/>
              </w:rPr>
              <w:t>氨氮当量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333333"/>
                <w:sz w:val="20"/>
              </w:rPr>
            </w:pPr>
            <w:r>
              <w:rPr>
                <w:rFonts w:hint="eastAsia" w:ascii="宋体" w:hAnsi="宋体" w:eastAsia="宋体" w:cs="宋体"/>
                <w:color w:val="333333"/>
                <w:sz w:val="20"/>
              </w:rPr>
              <w:t>二氧化硫排放量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333333"/>
                <w:sz w:val="20"/>
              </w:rPr>
            </w:pPr>
            <w:r>
              <w:rPr>
                <w:rFonts w:hint="eastAsia" w:ascii="宋体" w:hAnsi="宋体" w:eastAsia="宋体" w:cs="宋体"/>
                <w:color w:val="333333"/>
                <w:sz w:val="20"/>
              </w:rPr>
              <w:t>二氧化硫当量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333333"/>
                <w:sz w:val="20"/>
              </w:rPr>
            </w:pPr>
            <w:r>
              <w:rPr>
                <w:rFonts w:hint="eastAsia" w:ascii="宋体" w:hAnsi="宋体" w:eastAsia="宋体" w:cs="宋体"/>
                <w:color w:val="333333"/>
                <w:sz w:val="20"/>
              </w:rPr>
              <w:t>氮氧化物排放量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333333"/>
                <w:sz w:val="20"/>
              </w:rPr>
            </w:pPr>
            <w:r>
              <w:rPr>
                <w:rFonts w:hint="eastAsia" w:ascii="宋体" w:hAnsi="宋体" w:eastAsia="宋体" w:cs="宋体"/>
                <w:color w:val="333333"/>
                <w:sz w:val="20"/>
              </w:rPr>
              <w:t>氮氧化物当量</w:t>
            </w:r>
          </w:p>
        </w:tc>
      </w:tr>
    </w:tbl>
    <w:p>
      <w:pPr>
        <w:spacing w:line="560" w:lineRule="exact"/>
        <w:ind w:firstLine="0"/>
        <w:rPr>
          <w:rFonts w:ascii="宋体" w:hAnsi="宋体" w:eastAsia="宋体" w:cs="宋体"/>
          <w:sz w:val="21"/>
          <w:szCs w:val="21"/>
        </w:rPr>
      </w:pPr>
      <w:r>
        <w:rPr>
          <w:rFonts w:hint="eastAsia" w:ascii="宋体" w:hAnsi="宋体" w:eastAsia="宋体" w:cs="宋体"/>
          <w:sz w:val="21"/>
          <w:szCs w:val="21"/>
        </w:rPr>
        <w:t>备注：</w:t>
      </w:r>
      <w:r>
        <w:rPr>
          <w:rFonts w:hint="eastAsia" w:ascii="宋体" w:hAnsi="宋体" w:eastAsia="宋体" w:cs="宋体"/>
          <w:color w:val="000000"/>
          <w:sz w:val="21"/>
          <w:szCs w:val="21"/>
        </w:rPr>
        <w:t>单位主要污染物排放总当量为</w:t>
      </w:r>
      <w:r>
        <w:rPr>
          <w:rFonts w:hint="eastAsia" w:ascii="宋体" w:hAnsi="宋体" w:eastAsia="宋体" w:cs="宋体"/>
          <w:sz w:val="21"/>
          <w:szCs w:val="21"/>
        </w:rPr>
        <w:t>企业化学需氧量、氨氮、二氧化硫、氮氧化物等指标排放当量之和。污染物当量数=污染物排放值/污染物当量值。累计数，单位“排污当量”，保留2位小数。</w:t>
      </w:r>
    </w:p>
    <w:p>
      <w:pPr>
        <w:spacing w:line="560" w:lineRule="exact"/>
        <w:ind w:firstLine="0"/>
        <w:rPr>
          <w:rFonts w:ascii="宋体" w:hAnsi="宋体" w:eastAsia="宋体" w:cs="宋体"/>
          <w:sz w:val="21"/>
          <w:szCs w:val="21"/>
        </w:rPr>
      </w:pPr>
    </w:p>
    <w:tbl>
      <w:tblPr>
        <w:tblStyle w:val="9"/>
        <w:tblW w:w="13088" w:type="dxa"/>
        <w:tblInd w:w="0" w:type="dxa"/>
        <w:tblLayout w:type="fixed"/>
        <w:tblCellMar>
          <w:top w:w="0" w:type="dxa"/>
          <w:left w:w="0" w:type="dxa"/>
          <w:bottom w:w="0" w:type="dxa"/>
          <w:right w:w="0" w:type="dxa"/>
        </w:tblCellMar>
      </w:tblPr>
      <w:tblGrid>
        <w:gridCol w:w="660"/>
        <w:gridCol w:w="788"/>
        <w:gridCol w:w="1395"/>
        <w:gridCol w:w="1395"/>
        <w:gridCol w:w="525"/>
        <w:gridCol w:w="795"/>
        <w:gridCol w:w="900"/>
        <w:gridCol w:w="1530"/>
        <w:gridCol w:w="1470"/>
        <w:gridCol w:w="1560"/>
        <w:gridCol w:w="2070"/>
      </w:tblGrid>
      <w:tr>
        <w:tblPrEx>
          <w:tblCellMar>
            <w:top w:w="0" w:type="dxa"/>
            <w:left w:w="0" w:type="dxa"/>
            <w:bottom w:w="0" w:type="dxa"/>
            <w:right w:w="0" w:type="dxa"/>
          </w:tblCellMar>
        </w:tblPrEx>
        <w:trPr>
          <w:trHeight w:val="450" w:hRule="atLeast"/>
        </w:trPr>
        <w:tc>
          <w:tcPr>
            <w:tcW w:w="13088"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7.企业环保违法信息表（赣榆生态环境局提供）</w:t>
            </w:r>
          </w:p>
        </w:tc>
      </w:tr>
      <w:tr>
        <w:tblPrEx>
          <w:tblCellMar>
            <w:top w:w="0" w:type="dxa"/>
            <w:left w:w="0" w:type="dxa"/>
            <w:bottom w:w="0" w:type="dxa"/>
            <w:right w:w="0"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年度</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月份</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统一社会信用代码</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单位名称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市</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县市区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区域</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一般环境事件</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（累计数）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较大环境事件</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（累计数）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重大环境事件</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（累计数）</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特别重大环境事件</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（累计数）</w:t>
            </w:r>
          </w:p>
        </w:tc>
      </w:tr>
      <w:tr>
        <w:tblPrEx>
          <w:tblCellMar>
            <w:top w:w="0" w:type="dxa"/>
            <w:left w:w="0" w:type="dxa"/>
            <w:bottom w:w="0" w:type="dxa"/>
            <w:right w:w="0"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1"/>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1"/>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1"/>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r>
    </w:tbl>
    <w:p>
      <w:pPr>
        <w:spacing w:line="560" w:lineRule="exact"/>
        <w:ind w:firstLine="0"/>
        <w:rPr>
          <w:rFonts w:ascii="宋体" w:hAnsi="宋体" w:eastAsia="宋体" w:cs="宋体"/>
          <w:sz w:val="21"/>
          <w:szCs w:val="21"/>
        </w:rPr>
      </w:pPr>
    </w:p>
    <w:p>
      <w:pPr>
        <w:spacing w:line="560" w:lineRule="exact"/>
        <w:ind w:firstLine="0"/>
        <w:rPr>
          <w:rFonts w:ascii="宋体" w:hAnsi="宋体" w:eastAsia="宋体" w:cs="宋体"/>
          <w:sz w:val="21"/>
          <w:szCs w:val="21"/>
        </w:rPr>
      </w:pPr>
    </w:p>
    <w:tbl>
      <w:tblPr>
        <w:tblStyle w:val="9"/>
        <w:tblW w:w="13069" w:type="dxa"/>
        <w:tblInd w:w="0" w:type="dxa"/>
        <w:tblLayout w:type="fixed"/>
        <w:tblCellMar>
          <w:top w:w="0" w:type="dxa"/>
          <w:left w:w="0" w:type="dxa"/>
          <w:bottom w:w="0" w:type="dxa"/>
          <w:right w:w="0" w:type="dxa"/>
        </w:tblCellMar>
      </w:tblPr>
      <w:tblGrid>
        <w:gridCol w:w="1326"/>
        <w:gridCol w:w="1308"/>
        <w:gridCol w:w="1309"/>
        <w:gridCol w:w="1309"/>
        <w:gridCol w:w="1309"/>
        <w:gridCol w:w="1308"/>
        <w:gridCol w:w="1309"/>
        <w:gridCol w:w="1890"/>
        <w:gridCol w:w="2001"/>
      </w:tblGrid>
      <w:tr>
        <w:tblPrEx>
          <w:tblCellMar>
            <w:top w:w="0" w:type="dxa"/>
            <w:left w:w="0" w:type="dxa"/>
            <w:bottom w:w="0" w:type="dxa"/>
            <w:right w:w="0" w:type="dxa"/>
          </w:tblCellMar>
        </w:tblPrEx>
        <w:trPr>
          <w:trHeight w:val="450" w:hRule="atLeast"/>
        </w:trPr>
        <w:tc>
          <w:tcPr>
            <w:tcW w:w="13069" w:type="dxa"/>
            <w:gridSpan w:val="9"/>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8.企业排污（环境行为）数据表（赣榆生态环境局提供）</w:t>
            </w:r>
          </w:p>
        </w:tc>
      </w:tr>
      <w:tr>
        <w:tblPrEx>
          <w:tblCellMar>
            <w:top w:w="0" w:type="dxa"/>
            <w:left w:w="0" w:type="dxa"/>
            <w:bottom w:w="0" w:type="dxa"/>
            <w:right w:w="0" w:type="dxa"/>
          </w:tblCellMar>
        </w:tblPrEx>
        <w:trPr>
          <w:trHeight w:val="51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县市区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环境容量（许可量）</w:t>
            </w:r>
          </w:p>
        </w:tc>
        <w:tc>
          <w:tcPr>
            <w:tcW w:w="2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环保信用评级</w:t>
            </w:r>
          </w:p>
        </w:tc>
      </w:tr>
      <w:tr>
        <w:tblPrEx>
          <w:tblCellMar>
            <w:top w:w="0" w:type="dxa"/>
            <w:left w:w="0" w:type="dxa"/>
            <w:bottom w:w="0" w:type="dxa"/>
            <w:right w:w="0" w:type="dxa"/>
          </w:tblCellMar>
        </w:tblPrEx>
        <w:trPr>
          <w:trHeight w:val="51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r>
    </w:tbl>
    <w:p>
      <w:pPr>
        <w:spacing w:line="560" w:lineRule="exact"/>
        <w:ind w:firstLine="0"/>
        <w:rPr>
          <w:rFonts w:ascii="等线" w:hAnsi="等线" w:eastAsia="等线" w:cs="等线"/>
          <w:color w:val="000000"/>
          <w:sz w:val="21"/>
          <w:szCs w:val="21"/>
        </w:rPr>
      </w:pPr>
      <w:r>
        <w:rPr>
          <w:rFonts w:hint="eastAsia" w:ascii="宋体" w:hAnsi="宋体" w:eastAsia="宋体" w:cs="宋体"/>
          <w:sz w:val="21"/>
          <w:szCs w:val="21"/>
        </w:rPr>
        <w:t>备注：</w:t>
      </w:r>
      <w:r>
        <w:rPr>
          <w:rFonts w:ascii="等线" w:hAnsi="等线" w:eastAsia="等线" w:cs="等线"/>
          <w:color w:val="000000"/>
          <w:sz w:val="21"/>
          <w:szCs w:val="21"/>
        </w:rPr>
        <w:t>环保信用评级填写绿色企业、蓝色企业、黄色企业、红色企业或黑色企业</w:t>
      </w:r>
      <w:r>
        <w:rPr>
          <w:rFonts w:hint="eastAsia" w:ascii="等线" w:hAnsi="等线" w:eastAsia="等线" w:cs="等线"/>
          <w:color w:val="000000"/>
          <w:sz w:val="21"/>
          <w:szCs w:val="21"/>
        </w:rPr>
        <w:t>。</w:t>
      </w:r>
    </w:p>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tbl>
      <w:tblPr>
        <w:tblStyle w:val="9"/>
        <w:tblW w:w="13069" w:type="dxa"/>
        <w:tblInd w:w="0" w:type="dxa"/>
        <w:tblLayout w:type="fixed"/>
        <w:tblCellMar>
          <w:top w:w="0" w:type="dxa"/>
          <w:left w:w="0" w:type="dxa"/>
          <w:bottom w:w="0" w:type="dxa"/>
          <w:right w:w="0" w:type="dxa"/>
        </w:tblCellMar>
      </w:tblPr>
      <w:tblGrid>
        <w:gridCol w:w="1634"/>
        <w:gridCol w:w="1449"/>
        <w:gridCol w:w="1818"/>
        <w:gridCol w:w="1634"/>
        <w:gridCol w:w="1633"/>
        <w:gridCol w:w="1634"/>
        <w:gridCol w:w="1633"/>
        <w:gridCol w:w="1634"/>
      </w:tblGrid>
      <w:tr>
        <w:tblPrEx>
          <w:tblCellMar>
            <w:top w:w="0" w:type="dxa"/>
            <w:left w:w="0" w:type="dxa"/>
            <w:bottom w:w="0" w:type="dxa"/>
            <w:right w:w="0" w:type="dxa"/>
          </w:tblCellMar>
        </w:tblPrEx>
        <w:trPr>
          <w:trHeight w:val="450" w:hRule="atLeast"/>
        </w:trPr>
        <w:tc>
          <w:tcPr>
            <w:tcW w:w="13069" w:type="dxa"/>
            <w:gridSpan w:val="8"/>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9.企业用气（燃气）数据表（区住建局提供）</w:t>
            </w:r>
          </w:p>
        </w:tc>
      </w:tr>
      <w:tr>
        <w:tblPrEx>
          <w:tblCellMar>
            <w:top w:w="0" w:type="dxa"/>
            <w:left w:w="0" w:type="dxa"/>
            <w:bottom w:w="0" w:type="dxa"/>
            <w:right w:w="0" w:type="dxa"/>
          </w:tblCellMar>
        </w:tblPrEx>
        <w:trPr>
          <w:trHeight w:val="510" w:hRule="atLeast"/>
        </w:trPr>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县市区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天然气用气量</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（万立方米）</w:t>
            </w:r>
          </w:p>
        </w:tc>
      </w:tr>
      <w:tr>
        <w:tblPrEx>
          <w:tblCellMar>
            <w:top w:w="0" w:type="dxa"/>
            <w:left w:w="0" w:type="dxa"/>
            <w:bottom w:w="0" w:type="dxa"/>
            <w:right w:w="0" w:type="dxa"/>
          </w:tblCellMar>
        </w:tblPrEx>
        <w:trPr>
          <w:trHeight w:val="510" w:hRule="atLeast"/>
        </w:trPr>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r>
    </w:tbl>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tbl>
      <w:tblPr>
        <w:tblStyle w:val="9"/>
        <w:tblW w:w="13069" w:type="dxa"/>
        <w:tblInd w:w="0" w:type="dxa"/>
        <w:tblLayout w:type="fixed"/>
        <w:tblCellMar>
          <w:top w:w="0" w:type="dxa"/>
          <w:left w:w="0" w:type="dxa"/>
          <w:bottom w:w="0" w:type="dxa"/>
          <w:right w:w="0" w:type="dxa"/>
        </w:tblCellMar>
      </w:tblPr>
      <w:tblGrid>
        <w:gridCol w:w="1634"/>
        <w:gridCol w:w="1464"/>
        <w:gridCol w:w="1803"/>
        <w:gridCol w:w="1634"/>
        <w:gridCol w:w="1633"/>
        <w:gridCol w:w="1634"/>
        <w:gridCol w:w="1633"/>
        <w:gridCol w:w="1634"/>
      </w:tblGrid>
      <w:tr>
        <w:trPr>
          <w:trHeight w:val="450" w:hRule="atLeast"/>
        </w:trPr>
        <w:tc>
          <w:tcPr>
            <w:tcW w:w="13069" w:type="dxa"/>
            <w:gridSpan w:val="8"/>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10.企业用水量数据表（区住建局提供）</w:t>
            </w:r>
          </w:p>
        </w:tc>
      </w:tr>
      <w:tr>
        <w:tblPrEx>
          <w:tblCellMar>
            <w:top w:w="0" w:type="dxa"/>
            <w:left w:w="0" w:type="dxa"/>
            <w:bottom w:w="0" w:type="dxa"/>
            <w:right w:w="0" w:type="dxa"/>
          </w:tblCellMar>
        </w:tblPrEx>
        <w:trPr>
          <w:trHeight w:val="510" w:hRule="atLeast"/>
        </w:trPr>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县市区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用</w:t>
            </w:r>
            <w:r>
              <w:rPr>
                <w:rFonts w:ascii="等线" w:hAnsi="等线" w:eastAsia="等线" w:cs="等线"/>
                <w:color w:val="000000"/>
                <w:sz w:val="21"/>
                <w:szCs w:val="21"/>
              </w:rPr>
              <w:t>水量</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（万立方米）</w:t>
            </w:r>
          </w:p>
        </w:tc>
      </w:tr>
      <w:tr>
        <w:tblPrEx>
          <w:tblCellMar>
            <w:top w:w="0" w:type="dxa"/>
            <w:left w:w="0" w:type="dxa"/>
            <w:bottom w:w="0" w:type="dxa"/>
            <w:right w:w="0" w:type="dxa"/>
          </w:tblCellMar>
        </w:tblPrEx>
        <w:trPr>
          <w:trHeight w:val="510" w:hRule="atLeast"/>
        </w:trPr>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r>
    </w:tbl>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tbl>
      <w:tblPr>
        <w:tblStyle w:val="9"/>
        <w:tblW w:w="13069" w:type="dxa"/>
        <w:tblInd w:w="0" w:type="dxa"/>
        <w:tblLayout w:type="fixed"/>
        <w:tblCellMar>
          <w:top w:w="0" w:type="dxa"/>
          <w:left w:w="0" w:type="dxa"/>
          <w:bottom w:w="0" w:type="dxa"/>
          <w:right w:w="0" w:type="dxa"/>
        </w:tblCellMar>
      </w:tblPr>
      <w:tblGrid>
        <w:gridCol w:w="1634"/>
        <w:gridCol w:w="1464"/>
        <w:gridCol w:w="1803"/>
        <w:gridCol w:w="1634"/>
        <w:gridCol w:w="1633"/>
        <w:gridCol w:w="1634"/>
        <w:gridCol w:w="1633"/>
        <w:gridCol w:w="1634"/>
      </w:tblGrid>
      <w:tr>
        <w:tblPrEx>
          <w:tblCellMar>
            <w:top w:w="0" w:type="dxa"/>
            <w:left w:w="0" w:type="dxa"/>
            <w:bottom w:w="0" w:type="dxa"/>
            <w:right w:w="0" w:type="dxa"/>
          </w:tblCellMar>
        </w:tblPrEx>
        <w:trPr>
          <w:trHeight w:val="450" w:hRule="atLeast"/>
        </w:trPr>
        <w:tc>
          <w:tcPr>
            <w:tcW w:w="13069" w:type="dxa"/>
            <w:gridSpan w:val="8"/>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11.企业自取水数据表（区水利局提供）</w:t>
            </w:r>
          </w:p>
        </w:tc>
      </w:tr>
      <w:tr>
        <w:tblPrEx>
          <w:tblCellMar>
            <w:top w:w="0" w:type="dxa"/>
            <w:left w:w="0" w:type="dxa"/>
            <w:bottom w:w="0" w:type="dxa"/>
            <w:right w:w="0" w:type="dxa"/>
          </w:tblCellMar>
        </w:tblPrEx>
        <w:trPr>
          <w:trHeight w:val="510" w:hRule="atLeast"/>
        </w:trPr>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县市区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自取水量</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（万立方米）</w:t>
            </w:r>
          </w:p>
        </w:tc>
      </w:tr>
      <w:tr>
        <w:tblPrEx>
          <w:tblCellMar>
            <w:top w:w="0" w:type="dxa"/>
            <w:left w:w="0" w:type="dxa"/>
            <w:bottom w:w="0" w:type="dxa"/>
            <w:right w:w="0" w:type="dxa"/>
          </w:tblCellMar>
        </w:tblPrEx>
        <w:trPr>
          <w:trHeight w:val="510" w:hRule="atLeast"/>
        </w:trPr>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r>
    </w:tbl>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tbl>
      <w:tblPr>
        <w:tblStyle w:val="9"/>
        <w:tblW w:w="13069" w:type="dxa"/>
        <w:tblInd w:w="0" w:type="dxa"/>
        <w:tblLayout w:type="fixed"/>
        <w:tblCellMar>
          <w:top w:w="0" w:type="dxa"/>
          <w:left w:w="0" w:type="dxa"/>
          <w:bottom w:w="0" w:type="dxa"/>
          <w:right w:w="0" w:type="dxa"/>
        </w:tblCellMar>
      </w:tblPr>
      <w:tblGrid>
        <w:gridCol w:w="410"/>
        <w:gridCol w:w="410"/>
        <w:gridCol w:w="1093"/>
        <w:gridCol w:w="915"/>
        <w:gridCol w:w="375"/>
        <w:gridCol w:w="660"/>
        <w:gridCol w:w="675"/>
        <w:gridCol w:w="1710"/>
        <w:gridCol w:w="1845"/>
        <w:gridCol w:w="1875"/>
        <w:gridCol w:w="1485"/>
        <w:gridCol w:w="1616"/>
      </w:tblGrid>
      <w:tr>
        <w:tblPrEx>
          <w:tblCellMar>
            <w:top w:w="0" w:type="dxa"/>
            <w:left w:w="0" w:type="dxa"/>
            <w:bottom w:w="0" w:type="dxa"/>
            <w:right w:w="0" w:type="dxa"/>
          </w:tblCellMar>
        </w:tblPrEx>
        <w:trPr>
          <w:trHeight w:val="450" w:hRule="atLeast"/>
        </w:trPr>
        <w:tc>
          <w:tcPr>
            <w:tcW w:w="13069" w:type="dxa"/>
            <w:gridSpan w:val="1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1</w:t>
            </w:r>
            <w:r>
              <w:rPr>
                <w:rFonts w:hint="eastAsia" w:ascii="仿宋_GB2312" w:eastAsia="仿宋_GB2312"/>
                <w:snapToGrid/>
                <w:kern w:val="3"/>
                <w:sz w:val="32"/>
                <w:szCs w:val="32"/>
                <w:lang w:val="en-US" w:eastAsia="zh-CN"/>
              </w:rPr>
              <w:t>2</w:t>
            </w:r>
            <w:r>
              <w:rPr>
                <w:rFonts w:hint="eastAsia" w:ascii="仿宋_GB2312" w:eastAsia="仿宋_GB2312"/>
                <w:snapToGrid/>
                <w:kern w:val="3"/>
                <w:sz w:val="32"/>
                <w:szCs w:val="32"/>
              </w:rPr>
              <w:t>.企业安全生产信息表（区应急管理局提供）</w:t>
            </w:r>
          </w:p>
        </w:tc>
      </w:tr>
      <w:tr>
        <w:tblPrEx>
          <w:tblCellMar>
            <w:top w:w="0" w:type="dxa"/>
            <w:left w:w="0" w:type="dxa"/>
            <w:bottom w:w="0" w:type="dxa"/>
            <w:right w:w="0" w:type="dxa"/>
          </w:tblCellMar>
        </w:tblPrEx>
        <w:trPr>
          <w:trHeight w:val="81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县市区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一般安全生产事故</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（累计次数）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较大安全生产事故</w:t>
            </w:r>
            <w:r>
              <w:rPr>
                <w:rFonts w:hint="eastAsia" w:ascii="等线" w:hAnsi="等线" w:eastAsia="等线" w:cs="等线"/>
                <w:color w:val="000000"/>
                <w:sz w:val="21"/>
                <w:szCs w:val="21"/>
              </w:rPr>
              <w:t>（累计次数）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重大安全生产事故</w:t>
            </w:r>
            <w:r>
              <w:rPr>
                <w:rFonts w:hint="eastAsia" w:ascii="等线" w:hAnsi="等线" w:eastAsia="等线" w:cs="等线"/>
                <w:color w:val="000000"/>
                <w:sz w:val="21"/>
                <w:szCs w:val="21"/>
              </w:rPr>
              <w:t>（累计次数）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死亡人数</w:t>
            </w:r>
            <w:r>
              <w:rPr>
                <w:rFonts w:hint="eastAsia" w:ascii="等线" w:hAnsi="等线" w:eastAsia="等线" w:cs="等线"/>
                <w:color w:val="000000"/>
                <w:sz w:val="21"/>
                <w:szCs w:val="21"/>
              </w:rPr>
              <w:t>（累计次数）</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安全生产标准化</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（一级、二级、三级名单）</w:t>
            </w:r>
          </w:p>
        </w:tc>
      </w:tr>
      <w:tr>
        <w:tblPrEx>
          <w:tblCellMar>
            <w:top w:w="0" w:type="dxa"/>
            <w:left w:w="0" w:type="dxa"/>
            <w:bottom w:w="0" w:type="dxa"/>
            <w:right w:w="0" w:type="dxa"/>
          </w:tblCellMar>
        </w:tblPrEx>
        <w:trPr>
          <w:trHeight w:val="81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r>
    </w:tbl>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tbl>
      <w:tblPr>
        <w:tblStyle w:val="9"/>
        <w:tblW w:w="13069" w:type="dxa"/>
        <w:tblInd w:w="0" w:type="dxa"/>
        <w:tblLayout w:type="fixed"/>
        <w:tblCellMar>
          <w:top w:w="0" w:type="dxa"/>
          <w:left w:w="0" w:type="dxa"/>
          <w:bottom w:w="0" w:type="dxa"/>
          <w:right w:w="0" w:type="dxa"/>
        </w:tblCellMar>
      </w:tblPr>
      <w:tblGrid>
        <w:gridCol w:w="670"/>
        <w:gridCol w:w="671"/>
        <w:gridCol w:w="1275"/>
        <w:gridCol w:w="670"/>
        <w:gridCol w:w="670"/>
        <w:gridCol w:w="670"/>
        <w:gridCol w:w="671"/>
        <w:gridCol w:w="670"/>
        <w:gridCol w:w="1117"/>
        <w:gridCol w:w="670"/>
        <w:gridCol w:w="670"/>
        <w:gridCol w:w="671"/>
        <w:gridCol w:w="670"/>
        <w:gridCol w:w="670"/>
        <w:gridCol w:w="669"/>
        <w:gridCol w:w="671"/>
        <w:gridCol w:w="1294"/>
      </w:tblGrid>
      <w:tr>
        <w:trPr>
          <w:trHeight w:val="450" w:hRule="atLeast"/>
        </w:trPr>
        <w:tc>
          <w:tcPr>
            <w:tcW w:w="13069" w:type="dxa"/>
            <w:gridSpan w:val="17"/>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1</w:t>
            </w:r>
            <w:r>
              <w:rPr>
                <w:rFonts w:hint="eastAsia" w:ascii="仿宋_GB2312" w:eastAsia="仿宋_GB2312"/>
                <w:snapToGrid/>
                <w:kern w:val="3"/>
                <w:sz w:val="32"/>
                <w:szCs w:val="32"/>
                <w:lang w:val="en-US" w:eastAsia="zh-CN"/>
              </w:rPr>
              <w:t>3</w:t>
            </w:r>
            <w:r>
              <w:rPr>
                <w:rFonts w:hint="eastAsia" w:ascii="仿宋_GB2312" w:eastAsia="仿宋_GB2312"/>
                <w:snapToGrid/>
                <w:kern w:val="3"/>
                <w:sz w:val="32"/>
                <w:szCs w:val="32"/>
              </w:rPr>
              <w:t>.企业基本信息表（区行政审批局提供）</w:t>
            </w:r>
          </w:p>
        </w:tc>
      </w:tr>
      <w:tr>
        <w:tblPrEx>
          <w:tblCellMar>
            <w:top w:w="0" w:type="dxa"/>
            <w:left w:w="0" w:type="dxa"/>
            <w:bottom w:w="0" w:type="dxa"/>
            <w:right w:w="0" w:type="dxa"/>
          </w:tblCellMar>
        </w:tblPrEx>
        <w:trPr>
          <w:trHeight w:val="78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统一社会信用代码</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市县区</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区域</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行业分类</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住所（经营场所）</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经营范围</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注册时间</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企业类型</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注册资金</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法人代表</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联系电话</w:t>
            </w:r>
          </w:p>
        </w:tc>
        <w:tc>
          <w:tcPr>
            <w:tcW w:w="67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企业分类</w:t>
            </w:r>
          </w:p>
        </w:tc>
        <w:tc>
          <w:tcPr>
            <w:tcW w:w="129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是否年度新增企业</w:t>
            </w:r>
          </w:p>
        </w:tc>
      </w:tr>
      <w:tr>
        <w:tblPrEx>
          <w:tblCellMar>
            <w:top w:w="0" w:type="dxa"/>
            <w:left w:w="0" w:type="dxa"/>
            <w:bottom w:w="0" w:type="dxa"/>
            <w:right w:w="0" w:type="dxa"/>
          </w:tblCellMar>
        </w:tblPrEx>
        <w:trPr>
          <w:trHeight w:val="78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67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129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r>
    </w:tbl>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tbl>
      <w:tblPr>
        <w:tblStyle w:val="9"/>
        <w:tblW w:w="13069" w:type="dxa"/>
        <w:tblInd w:w="0" w:type="dxa"/>
        <w:tblLayout w:type="fixed"/>
        <w:tblCellMar>
          <w:top w:w="0" w:type="dxa"/>
          <w:left w:w="0" w:type="dxa"/>
          <w:bottom w:w="0" w:type="dxa"/>
          <w:right w:w="0" w:type="dxa"/>
        </w:tblCellMar>
      </w:tblPr>
      <w:tblGrid>
        <w:gridCol w:w="461"/>
        <w:gridCol w:w="461"/>
        <w:gridCol w:w="1036"/>
        <w:gridCol w:w="738"/>
        <w:gridCol w:w="462"/>
        <w:gridCol w:w="330"/>
        <w:gridCol w:w="726"/>
        <w:gridCol w:w="1014"/>
        <w:gridCol w:w="1050"/>
        <w:gridCol w:w="1110"/>
        <w:gridCol w:w="975"/>
        <w:gridCol w:w="1185"/>
        <w:gridCol w:w="1035"/>
        <w:gridCol w:w="600"/>
        <w:gridCol w:w="600"/>
        <w:gridCol w:w="645"/>
        <w:gridCol w:w="641"/>
      </w:tblGrid>
      <w:tr>
        <w:tblPrEx>
          <w:tblCellMar>
            <w:top w:w="0" w:type="dxa"/>
            <w:left w:w="0" w:type="dxa"/>
            <w:bottom w:w="0" w:type="dxa"/>
            <w:right w:w="0" w:type="dxa"/>
          </w:tblCellMar>
        </w:tblPrEx>
        <w:trPr>
          <w:trHeight w:val="450" w:hRule="atLeast"/>
        </w:trPr>
        <w:tc>
          <w:tcPr>
            <w:tcW w:w="13069"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36"/>
                <w:szCs w:val="36"/>
              </w:rPr>
            </w:pPr>
            <w:r>
              <w:rPr>
                <w:rFonts w:hint="eastAsia" w:ascii="仿宋_GB2312" w:eastAsia="仿宋_GB2312"/>
                <w:snapToGrid/>
                <w:kern w:val="3"/>
                <w:sz w:val="32"/>
                <w:szCs w:val="32"/>
              </w:rPr>
              <w:t>1</w:t>
            </w:r>
            <w:r>
              <w:rPr>
                <w:rFonts w:hint="eastAsia" w:ascii="仿宋_GB2312" w:eastAsia="仿宋_GB2312"/>
                <w:snapToGrid/>
                <w:kern w:val="3"/>
                <w:sz w:val="32"/>
                <w:szCs w:val="32"/>
                <w:lang w:val="en-US" w:eastAsia="zh-CN"/>
              </w:rPr>
              <w:t>4</w:t>
            </w:r>
            <w:r>
              <w:rPr>
                <w:rFonts w:hint="eastAsia" w:ascii="仿宋_GB2312" w:eastAsia="仿宋_GB2312"/>
                <w:snapToGrid/>
                <w:kern w:val="3"/>
                <w:sz w:val="32"/>
                <w:szCs w:val="32"/>
              </w:rPr>
              <w:t>.年度注销企业表（区行政审批局提供）</w:t>
            </w:r>
          </w:p>
        </w:tc>
      </w:tr>
      <w:tr>
        <w:tblPrEx>
          <w:tblCellMar>
            <w:top w:w="0" w:type="dxa"/>
            <w:left w:w="0" w:type="dxa"/>
            <w:bottom w:w="0" w:type="dxa"/>
            <w:right w:w="0" w:type="dxa"/>
          </w:tblCellMar>
        </w:tblPrEx>
        <w:trPr>
          <w:trHeight w:val="285"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统一社会信用代码</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市县区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区域</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行业分类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住所（经营场所）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经营范围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注册时间</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注销时间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企业类型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注册资金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法人代表</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联系电话</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企业分类</w:t>
            </w:r>
          </w:p>
        </w:tc>
      </w:tr>
      <w:tr>
        <w:tblPrEx>
          <w:tblCellMar>
            <w:top w:w="0" w:type="dxa"/>
            <w:left w:w="0" w:type="dxa"/>
            <w:bottom w:w="0" w:type="dxa"/>
            <w:right w:w="0" w:type="dxa"/>
          </w:tblCellMar>
        </w:tblPrEx>
        <w:trPr>
          <w:trHeight w:val="285"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r>
    </w:tbl>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tbl>
      <w:tblPr>
        <w:tblStyle w:val="9"/>
        <w:tblW w:w="13069" w:type="dxa"/>
        <w:tblInd w:w="0" w:type="dxa"/>
        <w:tblLayout w:type="fixed"/>
        <w:tblCellMar>
          <w:top w:w="0" w:type="dxa"/>
          <w:left w:w="0" w:type="dxa"/>
          <w:bottom w:w="0" w:type="dxa"/>
          <w:right w:w="0" w:type="dxa"/>
        </w:tblCellMar>
      </w:tblPr>
      <w:tblGrid>
        <w:gridCol w:w="870"/>
        <w:gridCol w:w="871"/>
        <w:gridCol w:w="1920"/>
        <w:gridCol w:w="1220"/>
        <w:gridCol w:w="696"/>
        <w:gridCol w:w="1045"/>
        <w:gridCol w:w="870"/>
        <w:gridCol w:w="871"/>
        <w:gridCol w:w="1220"/>
        <w:gridCol w:w="1570"/>
        <w:gridCol w:w="871"/>
        <w:gridCol w:w="1045"/>
      </w:tblGrid>
      <w:tr>
        <w:tblPrEx>
          <w:tblCellMar>
            <w:top w:w="0" w:type="dxa"/>
            <w:left w:w="0" w:type="dxa"/>
            <w:bottom w:w="0" w:type="dxa"/>
            <w:right w:w="0" w:type="dxa"/>
          </w:tblCellMar>
        </w:tblPrEx>
        <w:trPr>
          <w:trHeight w:val="450" w:hRule="atLeast"/>
        </w:trPr>
        <w:tc>
          <w:tcPr>
            <w:tcW w:w="13069" w:type="dxa"/>
            <w:gridSpan w:val="1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1</w:t>
            </w:r>
            <w:r>
              <w:rPr>
                <w:rFonts w:hint="eastAsia" w:ascii="仿宋_GB2312" w:eastAsia="仿宋_GB2312"/>
                <w:snapToGrid/>
                <w:kern w:val="3"/>
                <w:sz w:val="32"/>
                <w:szCs w:val="32"/>
                <w:lang w:val="en-US" w:eastAsia="zh-CN"/>
              </w:rPr>
              <w:t>5</w:t>
            </w:r>
            <w:r>
              <w:rPr>
                <w:rFonts w:hint="eastAsia" w:ascii="仿宋_GB2312" w:eastAsia="仿宋_GB2312"/>
                <w:snapToGrid/>
                <w:kern w:val="3"/>
                <w:sz w:val="32"/>
                <w:szCs w:val="32"/>
              </w:rPr>
              <w:t>.企业品牌信息表（区市场管理局提供）</w:t>
            </w:r>
          </w:p>
        </w:tc>
      </w:tr>
      <w:tr>
        <w:tblPrEx>
          <w:tblCellMar>
            <w:top w:w="0" w:type="dxa"/>
            <w:left w:w="0" w:type="dxa"/>
            <w:bottom w:w="0" w:type="dxa"/>
            <w:right w:w="0" w:type="dxa"/>
          </w:tblCellMar>
        </w:tblPrEx>
        <w:trPr>
          <w:trHeight w:val="4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年度</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月份</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统一社会信用代码</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单位名称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市</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市县区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区域</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商标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制定标准</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守合同重信用</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名牌</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质量奖</w:t>
            </w:r>
          </w:p>
        </w:tc>
      </w:tr>
      <w:tr>
        <w:tblPrEx>
          <w:tblCellMar>
            <w:top w:w="0" w:type="dxa"/>
            <w:left w:w="0" w:type="dxa"/>
            <w:bottom w:w="0" w:type="dxa"/>
            <w:right w:w="0" w:type="dxa"/>
          </w:tblCellMar>
        </w:tblPrEx>
        <w:trPr>
          <w:trHeight w:val="4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r>
    </w:tbl>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tbl>
      <w:tblPr>
        <w:tblStyle w:val="9"/>
        <w:tblW w:w="13069" w:type="dxa"/>
        <w:tblInd w:w="0" w:type="dxa"/>
        <w:tblLayout w:type="fixed"/>
        <w:tblCellMar>
          <w:top w:w="0" w:type="dxa"/>
          <w:left w:w="0" w:type="dxa"/>
          <w:bottom w:w="0" w:type="dxa"/>
          <w:right w:w="0" w:type="dxa"/>
        </w:tblCellMar>
      </w:tblPr>
      <w:tblGrid>
        <w:gridCol w:w="1388"/>
        <w:gridCol w:w="1388"/>
        <w:gridCol w:w="2641"/>
        <w:gridCol w:w="1387"/>
        <w:gridCol w:w="1388"/>
        <w:gridCol w:w="1388"/>
        <w:gridCol w:w="1388"/>
        <w:gridCol w:w="2101"/>
      </w:tblGrid>
      <w:tr>
        <w:trPr>
          <w:trHeight w:val="450" w:hRule="atLeast"/>
        </w:trPr>
        <w:tc>
          <w:tcPr>
            <w:tcW w:w="13069" w:type="dxa"/>
            <w:gridSpan w:val="8"/>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1</w:t>
            </w:r>
            <w:r>
              <w:rPr>
                <w:rFonts w:hint="eastAsia" w:ascii="仿宋_GB2312" w:eastAsia="仿宋_GB2312"/>
                <w:snapToGrid/>
                <w:kern w:val="3"/>
                <w:sz w:val="32"/>
                <w:szCs w:val="32"/>
                <w:lang w:val="en-US" w:eastAsia="zh-CN"/>
              </w:rPr>
              <w:t>6</w:t>
            </w:r>
            <w:r>
              <w:rPr>
                <w:rFonts w:hint="eastAsia" w:ascii="仿宋_GB2312" w:eastAsia="仿宋_GB2312"/>
                <w:snapToGrid/>
                <w:kern w:val="3"/>
                <w:sz w:val="32"/>
                <w:szCs w:val="32"/>
              </w:rPr>
              <w:t>.企业年内新增授权发明专利数表（区市场管理局提供）</w:t>
            </w:r>
          </w:p>
        </w:tc>
      </w:tr>
      <w:tr>
        <w:tblPrEx>
          <w:tblCellMar>
            <w:top w:w="0" w:type="dxa"/>
            <w:left w:w="0" w:type="dxa"/>
            <w:bottom w:w="0" w:type="dxa"/>
            <w:right w:w="0" w:type="dxa"/>
          </w:tblCellMar>
        </w:tblPrEx>
        <w:trPr>
          <w:trHeight w:val="7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统一社会信用代码</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市县区</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区域</w:t>
            </w:r>
          </w:p>
        </w:tc>
        <w:tc>
          <w:tcPr>
            <w:tcW w:w="2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年度新增授权发明专利数量</w:t>
            </w:r>
          </w:p>
        </w:tc>
      </w:tr>
      <w:tr>
        <w:tblPrEx>
          <w:tblCellMar>
            <w:top w:w="0" w:type="dxa"/>
            <w:left w:w="0" w:type="dxa"/>
            <w:bottom w:w="0" w:type="dxa"/>
            <w:right w:w="0" w:type="dxa"/>
          </w:tblCellMar>
        </w:tblPrEx>
        <w:trPr>
          <w:trHeight w:val="7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r>
    </w:tbl>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tbl>
      <w:tblPr>
        <w:tblStyle w:val="9"/>
        <w:tblW w:w="13069" w:type="dxa"/>
        <w:tblInd w:w="0" w:type="dxa"/>
        <w:tblLayout w:type="fixed"/>
        <w:tblCellMar>
          <w:top w:w="0" w:type="dxa"/>
          <w:left w:w="0" w:type="dxa"/>
          <w:bottom w:w="0" w:type="dxa"/>
          <w:right w:w="0" w:type="dxa"/>
        </w:tblCellMar>
      </w:tblPr>
      <w:tblGrid>
        <w:gridCol w:w="5183"/>
        <w:gridCol w:w="1618"/>
        <w:gridCol w:w="1240"/>
        <w:gridCol w:w="1601"/>
        <w:gridCol w:w="1705"/>
        <w:gridCol w:w="1722"/>
      </w:tblGrid>
      <w:tr>
        <w:tblPrEx>
          <w:tblCellMar>
            <w:top w:w="0" w:type="dxa"/>
            <w:left w:w="0" w:type="dxa"/>
            <w:bottom w:w="0" w:type="dxa"/>
            <w:right w:w="0" w:type="dxa"/>
          </w:tblCellMar>
        </w:tblPrEx>
        <w:trPr>
          <w:trHeight w:val="450" w:hRule="atLeast"/>
        </w:trPr>
        <w:tc>
          <w:tcPr>
            <w:tcW w:w="13069" w:type="dxa"/>
            <w:gridSpan w:val="6"/>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1</w:t>
            </w:r>
            <w:r>
              <w:rPr>
                <w:rFonts w:hint="eastAsia" w:ascii="仿宋_GB2312" w:eastAsia="仿宋_GB2312"/>
                <w:snapToGrid/>
                <w:kern w:val="3"/>
                <w:sz w:val="32"/>
                <w:szCs w:val="32"/>
                <w:lang w:val="en-US" w:eastAsia="zh-CN"/>
              </w:rPr>
              <w:t>7</w:t>
            </w:r>
            <w:r>
              <w:rPr>
                <w:rFonts w:hint="eastAsia" w:ascii="仿宋_GB2312" w:eastAsia="仿宋_GB2312"/>
                <w:snapToGrid/>
                <w:kern w:val="3"/>
                <w:sz w:val="32"/>
                <w:szCs w:val="32"/>
              </w:rPr>
              <w:t>.规模以上工业企业名单表（区统计局提供）</w:t>
            </w:r>
          </w:p>
        </w:tc>
      </w:tr>
      <w:tr>
        <w:tblPrEx>
          <w:tblCellMar>
            <w:top w:w="0" w:type="dxa"/>
            <w:left w:w="0" w:type="dxa"/>
            <w:bottom w:w="0" w:type="dxa"/>
            <w:right w:w="0" w:type="dxa"/>
          </w:tblCellMar>
        </w:tblPrEx>
        <w:trPr>
          <w:trHeight w:val="270" w:hRule="atLeast"/>
        </w:trPr>
        <w:tc>
          <w:tcPr>
            <w:tcW w:w="5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市县区</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行业大类代码</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行业小类代码</w:t>
            </w:r>
          </w:p>
        </w:tc>
      </w:tr>
      <w:tr>
        <w:tblPrEx>
          <w:tblCellMar>
            <w:top w:w="0" w:type="dxa"/>
            <w:left w:w="0" w:type="dxa"/>
            <w:bottom w:w="0" w:type="dxa"/>
            <w:right w:w="0" w:type="dxa"/>
          </w:tblCellMar>
        </w:tblPrEx>
        <w:trPr>
          <w:trHeight w:val="270" w:hRule="atLeast"/>
        </w:trPr>
        <w:tc>
          <w:tcPr>
            <w:tcW w:w="5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r>
    </w:tbl>
    <w:p>
      <w:pPr>
        <w:spacing w:line="560" w:lineRule="exact"/>
        <w:ind w:firstLine="0"/>
        <w:rPr>
          <w:rFonts w:ascii="宋体" w:hAnsi="宋体" w:eastAsia="宋体" w:cs="宋体"/>
          <w:color w:val="000000"/>
          <w:sz w:val="21"/>
          <w:szCs w:val="21"/>
        </w:rPr>
      </w:pPr>
      <w:r>
        <w:rPr>
          <w:rFonts w:hint="eastAsia" w:ascii="宋体" w:hAnsi="宋体" w:eastAsia="宋体" w:cs="宋体"/>
          <w:color w:val="000000"/>
          <w:sz w:val="21"/>
          <w:szCs w:val="21"/>
        </w:rPr>
        <w:t>备注：行业大类代码按照《2019年国民经济行业分类</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G</w:t>
      </w:r>
      <w:r>
        <w:rPr>
          <w:rFonts w:hint="eastAsia" w:ascii="宋体" w:hAnsi="宋体" w:eastAsia="宋体" w:cs="宋体"/>
          <w:color w:val="000000"/>
          <w:sz w:val="21"/>
          <w:szCs w:val="21"/>
          <w:lang w:eastAsia="zh-CN"/>
        </w:rPr>
        <w:t>B</w:t>
      </w:r>
      <w:r>
        <w:rPr>
          <w:rFonts w:hint="eastAsia" w:ascii="宋体" w:hAnsi="宋体" w:eastAsia="宋体" w:cs="宋体"/>
          <w:color w:val="000000"/>
          <w:sz w:val="21"/>
          <w:szCs w:val="21"/>
        </w:rPr>
        <w:t>/T4754-2017</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》行业大类规定的2位代码，如纺织业，则填17。</w:t>
      </w:r>
    </w:p>
    <w:p>
      <w:pPr>
        <w:spacing w:line="560" w:lineRule="exact"/>
        <w:ind w:firstLine="0"/>
        <w:rPr>
          <w:rFonts w:ascii="宋体" w:hAnsi="宋体" w:eastAsia="宋体" w:cs="宋体"/>
          <w:color w:val="000000"/>
          <w:sz w:val="21"/>
          <w:szCs w:val="21"/>
        </w:rPr>
      </w:pPr>
      <w:r>
        <w:rPr>
          <w:rFonts w:hint="eastAsia" w:ascii="宋体" w:hAnsi="宋体" w:eastAsia="宋体" w:cs="宋体"/>
          <w:color w:val="000000"/>
          <w:sz w:val="21"/>
          <w:szCs w:val="21"/>
        </w:rPr>
        <w:t>行业小类代码按照《2019年国民经济行业分类</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G</w:t>
      </w:r>
      <w:r>
        <w:rPr>
          <w:rFonts w:hint="eastAsia" w:ascii="宋体" w:hAnsi="宋体" w:eastAsia="宋体" w:cs="宋体"/>
          <w:color w:val="000000"/>
          <w:sz w:val="21"/>
          <w:szCs w:val="21"/>
          <w:lang w:eastAsia="zh-CN"/>
        </w:rPr>
        <w:t>B</w:t>
      </w:r>
      <w:r>
        <w:rPr>
          <w:rFonts w:hint="eastAsia" w:ascii="宋体" w:hAnsi="宋体" w:eastAsia="宋体" w:cs="宋体"/>
          <w:color w:val="000000"/>
          <w:sz w:val="21"/>
          <w:szCs w:val="21"/>
        </w:rPr>
        <w:t>/T4754-2017</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》行业小类规定的4位代码，如棉纺纱加工，则填1711。</w:t>
      </w:r>
    </w:p>
    <w:p>
      <w:pPr>
        <w:spacing w:line="560" w:lineRule="exact"/>
        <w:ind w:firstLine="0"/>
        <w:rPr>
          <w:rFonts w:ascii="等线" w:hAnsi="等线" w:eastAsia="等线" w:cs="等线"/>
          <w:color w:val="000000"/>
          <w:sz w:val="21"/>
          <w:szCs w:val="21"/>
        </w:rPr>
      </w:pPr>
    </w:p>
    <w:p>
      <w:pPr>
        <w:spacing w:line="560" w:lineRule="exact"/>
        <w:ind w:firstLine="0"/>
        <w:rPr>
          <w:rFonts w:ascii="等线" w:hAnsi="等线" w:eastAsia="等线" w:cs="等线"/>
          <w:color w:val="000000"/>
          <w:sz w:val="21"/>
          <w:szCs w:val="21"/>
        </w:rPr>
      </w:pPr>
    </w:p>
    <w:tbl>
      <w:tblPr>
        <w:tblStyle w:val="9"/>
        <w:tblW w:w="13069" w:type="dxa"/>
        <w:tblInd w:w="0" w:type="dxa"/>
        <w:tblLayout w:type="fixed"/>
        <w:tblCellMar>
          <w:top w:w="0" w:type="dxa"/>
          <w:left w:w="0" w:type="dxa"/>
          <w:bottom w:w="0" w:type="dxa"/>
          <w:right w:w="0" w:type="dxa"/>
        </w:tblCellMar>
      </w:tblPr>
      <w:tblGrid>
        <w:gridCol w:w="1263"/>
        <w:gridCol w:w="1263"/>
        <w:gridCol w:w="2745"/>
        <w:gridCol w:w="1757"/>
        <w:gridCol w:w="1017"/>
        <w:gridCol w:w="1510"/>
        <w:gridCol w:w="1263"/>
        <w:gridCol w:w="2251"/>
      </w:tblGrid>
      <w:tr>
        <w:tblPrEx>
          <w:tblCellMar>
            <w:top w:w="0" w:type="dxa"/>
            <w:left w:w="0" w:type="dxa"/>
            <w:bottom w:w="0" w:type="dxa"/>
            <w:right w:w="0" w:type="dxa"/>
          </w:tblCellMar>
        </w:tblPrEx>
        <w:trPr>
          <w:trHeight w:val="450" w:hRule="atLeast"/>
        </w:trPr>
        <w:tc>
          <w:tcPr>
            <w:tcW w:w="13069" w:type="dxa"/>
            <w:gridSpan w:val="8"/>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1</w:t>
            </w:r>
            <w:r>
              <w:rPr>
                <w:rFonts w:hint="eastAsia" w:ascii="仿宋_GB2312" w:eastAsia="仿宋_GB2312"/>
                <w:snapToGrid/>
                <w:kern w:val="3"/>
                <w:sz w:val="32"/>
                <w:szCs w:val="32"/>
                <w:lang w:val="en-US" w:eastAsia="zh-CN"/>
              </w:rPr>
              <w:t>8</w:t>
            </w:r>
            <w:r>
              <w:rPr>
                <w:rFonts w:hint="eastAsia" w:ascii="仿宋_GB2312" w:eastAsia="仿宋_GB2312"/>
                <w:snapToGrid/>
                <w:kern w:val="3"/>
                <w:sz w:val="32"/>
                <w:szCs w:val="32"/>
              </w:rPr>
              <w:t>.企业能耗情况表（区统计局提供）</w:t>
            </w:r>
          </w:p>
        </w:tc>
      </w:tr>
      <w:tr>
        <w:tblPrEx>
          <w:tblCellMar>
            <w:top w:w="0" w:type="dxa"/>
            <w:left w:w="0" w:type="dxa"/>
            <w:bottom w:w="0" w:type="dxa"/>
            <w:right w:w="0" w:type="dxa"/>
          </w:tblCellMar>
        </w:tblPrEx>
        <w:trPr>
          <w:trHeight w:val="27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市县区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2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综合能耗总量</w:t>
            </w:r>
          </w:p>
        </w:tc>
      </w:tr>
      <w:tr>
        <w:tblPrEx>
          <w:tblCellMar>
            <w:top w:w="0" w:type="dxa"/>
            <w:left w:w="0" w:type="dxa"/>
            <w:bottom w:w="0" w:type="dxa"/>
            <w:right w:w="0" w:type="dxa"/>
          </w:tblCellMar>
        </w:tblPrEx>
        <w:trPr>
          <w:trHeight w:val="27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r>
    </w:tbl>
    <w:p>
      <w:pPr>
        <w:spacing w:line="560" w:lineRule="exact"/>
        <w:ind w:firstLine="0"/>
        <w:rPr>
          <w:rFonts w:ascii="宋体" w:hAnsi="宋体" w:eastAsia="宋体" w:cs="宋体"/>
          <w:color w:val="000000"/>
          <w:sz w:val="21"/>
          <w:szCs w:val="21"/>
        </w:rPr>
      </w:pPr>
      <w:r>
        <w:rPr>
          <w:rFonts w:hint="eastAsia" w:ascii="宋体" w:hAnsi="宋体" w:eastAsia="宋体" w:cs="宋体"/>
          <w:color w:val="000000"/>
          <w:sz w:val="21"/>
          <w:szCs w:val="21"/>
        </w:rPr>
        <w:t>备注：综合能耗总量指企业生产和非生产活动消耗的能源总量。工业生产活动消耗能源包括作为燃料、动力、原料、辅助材料使用的能源，生产工艺中使用的能源，用于能源加工转换的能源。累计数，单位“吨标煤”，保留2位小数。</w:t>
      </w:r>
    </w:p>
    <w:p>
      <w:pPr>
        <w:spacing w:line="560" w:lineRule="exact"/>
        <w:ind w:firstLine="0"/>
        <w:rPr>
          <w:rFonts w:ascii="宋体" w:hAnsi="宋体" w:eastAsia="宋体" w:cs="宋体"/>
          <w:color w:val="000000"/>
          <w:sz w:val="21"/>
          <w:szCs w:val="21"/>
        </w:rPr>
      </w:pPr>
    </w:p>
    <w:p>
      <w:pPr>
        <w:spacing w:line="560" w:lineRule="exact"/>
        <w:ind w:firstLine="0"/>
        <w:rPr>
          <w:rFonts w:ascii="宋体" w:hAnsi="宋体" w:eastAsia="宋体" w:cs="宋体"/>
          <w:color w:val="000000"/>
          <w:sz w:val="21"/>
          <w:szCs w:val="21"/>
        </w:rPr>
      </w:pPr>
    </w:p>
    <w:tbl>
      <w:tblPr>
        <w:tblStyle w:val="9"/>
        <w:tblW w:w="13069" w:type="dxa"/>
        <w:tblInd w:w="0" w:type="dxa"/>
        <w:tblLayout w:type="fixed"/>
        <w:tblCellMar>
          <w:top w:w="0" w:type="dxa"/>
          <w:left w:w="0" w:type="dxa"/>
          <w:bottom w:w="0" w:type="dxa"/>
          <w:right w:w="0" w:type="dxa"/>
        </w:tblCellMar>
      </w:tblPr>
      <w:tblGrid>
        <w:gridCol w:w="787"/>
        <w:gridCol w:w="677"/>
        <w:gridCol w:w="1928"/>
        <w:gridCol w:w="2481"/>
        <w:gridCol w:w="960"/>
        <w:gridCol w:w="1020"/>
        <w:gridCol w:w="735"/>
        <w:gridCol w:w="1530"/>
        <w:gridCol w:w="945"/>
        <w:gridCol w:w="1005"/>
        <w:gridCol w:w="1001"/>
      </w:tblGrid>
      <w:tr>
        <w:trPr>
          <w:trHeight w:val="450" w:hRule="atLeast"/>
        </w:trPr>
        <w:tc>
          <w:tcPr>
            <w:tcW w:w="13069"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19.工业战略性新兴产业企业名单表（区统计局提供）</w:t>
            </w:r>
          </w:p>
        </w:tc>
      </w:tr>
      <w:tr>
        <w:tblPrEx>
          <w:tblCellMar>
            <w:top w:w="0" w:type="dxa"/>
            <w:left w:w="0" w:type="dxa"/>
            <w:bottom w:w="0" w:type="dxa"/>
            <w:right w:w="0" w:type="dxa"/>
          </w:tblCellMar>
        </w:tblPrEx>
        <w:trPr>
          <w:trHeight w:val="51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县市区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战略性新兴产业分类名称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行业代码</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产品代码</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产品名称</w:t>
            </w:r>
          </w:p>
        </w:tc>
      </w:tr>
      <w:tr>
        <w:tblPrEx>
          <w:tblCellMar>
            <w:top w:w="0" w:type="dxa"/>
            <w:left w:w="0" w:type="dxa"/>
            <w:bottom w:w="0" w:type="dxa"/>
            <w:right w:w="0" w:type="dxa"/>
          </w:tblCellMar>
        </w:tblPrEx>
        <w:trPr>
          <w:trHeight w:val="51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r>
    </w:tbl>
    <w:p>
      <w:pPr>
        <w:spacing w:line="560" w:lineRule="exact"/>
        <w:ind w:firstLine="0"/>
        <w:rPr>
          <w:rFonts w:ascii="宋体" w:hAnsi="宋体" w:eastAsia="宋体" w:cs="宋体"/>
          <w:color w:val="000000"/>
          <w:sz w:val="21"/>
          <w:szCs w:val="21"/>
        </w:rPr>
      </w:pPr>
    </w:p>
    <w:p>
      <w:pPr>
        <w:spacing w:line="560" w:lineRule="exact"/>
        <w:ind w:firstLine="0"/>
        <w:rPr>
          <w:rFonts w:ascii="宋体" w:hAnsi="宋体" w:eastAsia="宋体" w:cs="宋体"/>
          <w:color w:val="000000"/>
          <w:sz w:val="21"/>
          <w:szCs w:val="21"/>
        </w:rPr>
      </w:pPr>
    </w:p>
    <w:tbl>
      <w:tblPr>
        <w:tblStyle w:val="9"/>
        <w:tblW w:w="13069" w:type="dxa"/>
        <w:tblInd w:w="0" w:type="dxa"/>
        <w:tblLayout w:type="fixed"/>
        <w:tblCellMar>
          <w:top w:w="0" w:type="dxa"/>
          <w:left w:w="0" w:type="dxa"/>
          <w:bottom w:w="0" w:type="dxa"/>
          <w:right w:w="0" w:type="dxa"/>
        </w:tblCellMar>
      </w:tblPr>
      <w:tblGrid>
        <w:gridCol w:w="934"/>
        <w:gridCol w:w="933"/>
        <w:gridCol w:w="934"/>
        <w:gridCol w:w="933"/>
        <w:gridCol w:w="819"/>
        <w:gridCol w:w="870"/>
        <w:gridCol w:w="945"/>
        <w:gridCol w:w="915"/>
        <w:gridCol w:w="915"/>
        <w:gridCol w:w="1005"/>
        <w:gridCol w:w="915"/>
        <w:gridCol w:w="870"/>
        <w:gridCol w:w="870"/>
        <w:gridCol w:w="1211"/>
      </w:tblGrid>
      <w:tr>
        <w:tblPrEx>
          <w:tblCellMar>
            <w:top w:w="0" w:type="dxa"/>
            <w:left w:w="0" w:type="dxa"/>
            <w:bottom w:w="0" w:type="dxa"/>
            <w:right w:w="0" w:type="dxa"/>
          </w:tblCellMar>
        </w:tblPrEx>
        <w:trPr>
          <w:trHeight w:val="450" w:hRule="atLeast"/>
        </w:trPr>
        <w:tc>
          <w:tcPr>
            <w:tcW w:w="13069" w:type="dxa"/>
            <w:gridSpan w:val="14"/>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kern w:val="3"/>
                <w:sz w:val="32"/>
                <w:szCs w:val="32"/>
              </w:rPr>
              <w:t>20.企业开票及缴税数据表（区税务局提供</w:t>
            </w:r>
            <w:r>
              <w:rPr>
                <w:rFonts w:hint="eastAsia" w:ascii="方正小标宋简体" w:eastAsia="方正小标宋简体"/>
                <w:snapToGrid/>
                <w:kern w:val="3"/>
                <w:sz w:val="36"/>
                <w:szCs w:val="36"/>
              </w:rPr>
              <w:t>）</w:t>
            </w:r>
          </w:p>
        </w:tc>
      </w:tr>
      <w:tr>
        <w:tblPrEx>
          <w:tblCellMar>
            <w:top w:w="0" w:type="dxa"/>
            <w:left w:w="0" w:type="dxa"/>
            <w:bottom w:w="0" w:type="dxa"/>
            <w:right w:w="0" w:type="dxa"/>
          </w:tblCellMar>
        </w:tblPrEx>
        <w:trPr>
          <w:trHeight w:val="51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统一社会信用代码</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单位名称</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市县区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区域</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销售收入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实缴税金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环保税收</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出口退税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一般退税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设备抵扣</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纳税人状态</w:t>
            </w:r>
          </w:p>
        </w:tc>
      </w:tr>
      <w:tr>
        <w:tblPrEx>
          <w:tblCellMar>
            <w:top w:w="0" w:type="dxa"/>
            <w:left w:w="0" w:type="dxa"/>
            <w:bottom w:w="0" w:type="dxa"/>
            <w:right w:w="0" w:type="dxa"/>
          </w:tblCellMar>
        </w:tblPrEx>
        <w:trPr>
          <w:trHeight w:val="51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r>
    </w:tbl>
    <w:p>
      <w:pPr>
        <w:spacing w:line="560" w:lineRule="exact"/>
        <w:ind w:firstLine="0"/>
        <w:rPr>
          <w:rFonts w:ascii="宋体" w:hAnsi="宋体" w:eastAsia="宋体" w:cs="宋体"/>
          <w:color w:val="000000"/>
          <w:sz w:val="21"/>
          <w:szCs w:val="21"/>
        </w:rPr>
      </w:pPr>
    </w:p>
    <w:p>
      <w:pPr>
        <w:spacing w:line="560" w:lineRule="exact"/>
        <w:ind w:firstLine="0"/>
        <w:rPr>
          <w:rFonts w:ascii="宋体" w:hAnsi="宋体" w:eastAsia="宋体" w:cs="宋体"/>
          <w:color w:val="000000"/>
          <w:sz w:val="21"/>
          <w:szCs w:val="21"/>
        </w:rPr>
      </w:pPr>
    </w:p>
    <w:p>
      <w:pPr>
        <w:spacing w:line="560" w:lineRule="exact"/>
        <w:ind w:firstLine="0"/>
        <w:rPr>
          <w:rFonts w:ascii="宋体" w:hAnsi="宋体" w:eastAsia="宋体" w:cs="宋体"/>
          <w:color w:val="000000"/>
          <w:sz w:val="21"/>
          <w:szCs w:val="21"/>
        </w:rPr>
      </w:pPr>
    </w:p>
    <w:p>
      <w:pPr>
        <w:spacing w:line="560" w:lineRule="exact"/>
        <w:ind w:firstLine="0"/>
        <w:rPr>
          <w:rFonts w:ascii="宋体" w:hAnsi="宋体" w:eastAsia="宋体" w:cs="宋体"/>
          <w:color w:val="000000"/>
          <w:sz w:val="21"/>
          <w:szCs w:val="21"/>
        </w:rPr>
      </w:pPr>
    </w:p>
    <w:tbl>
      <w:tblPr>
        <w:tblStyle w:val="9"/>
        <w:tblW w:w="13069" w:type="dxa"/>
        <w:tblInd w:w="0" w:type="dxa"/>
        <w:tblLayout w:type="fixed"/>
        <w:tblCellMar>
          <w:top w:w="0" w:type="dxa"/>
          <w:left w:w="0" w:type="dxa"/>
          <w:bottom w:w="0" w:type="dxa"/>
          <w:right w:w="0" w:type="dxa"/>
        </w:tblCellMar>
      </w:tblPr>
      <w:tblGrid>
        <w:gridCol w:w="932"/>
        <w:gridCol w:w="931"/>
        <w:gridCol w:w="2056"/>
        <w:gridCol w:w="1307"/>
        <w:gridCol w:w="744"/>
        <w:gridCol w:w="1119"/>
        <w:gridCol w:w="932"/>
        <w:gridCol w:w="1681"/>
        <w:gridCol w:w="3367"/>
      </w:tblGrid>
      <w:tr>
        <w:tblPrEx>
          <w:tblCellMar>
            <w:top w:w="0" w:type="dxa"/>
            <w:left w:w="0" w:type="dxa"/>
            <w:bottom w:w="0" w:type="dxa"/>
            <w:right w:w="0" w:type="dxa"/>
          </w:tblCellMar>
        </w:tblPrEx>
        <w:trPr>
          <w:trHeight w:val="450" w:hRule="atLeast"/>
        </w:trPr>
        <w:tc>
          <w:tcPr>
            <w:tcW w:w="13069" w:type="dxa"/>
            <w:gridSpan w:val="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36"/>
                <w:szCs w:val="36"/>
              </w:rPr>
            </w:pPr>
            <w:r>
              <w:rPr>
                <w:rFonts w:hint="eastAsia" w:ascii="仿宋_GB2312" w:eastAsia="仿宋_GB2312"/>
                <w:snapToGrid/>
                <w:kern w:val="3"/>
                <w:sz w:val="32"/>
                <w:szCs w:val="32"/>
              </w:rPr>
              <w:t>21.企业诚信纳税信息表（区税务局提供）</w:t>
            </w:r>
          </w:p>
        </w:tc>
      </w:tr>
      <w:tr>
        <w:tblPrEx>
          <w:tblCellMar>
            <w:top w:w="0" w:type="dxa"/>
            <w:left w:w="0" w:type="dxa"/>
            <w:bottom w:w="0" w:type="dxa"/>
            <w:right w:w="0" w:type="dxa"/>
          </w:tblCellMar>
        </w:tblPrEx>
        <w:trPr>
          <w:trHeight w:val="27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年度</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月份</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统一社会信用代码</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单位名称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市</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县市区</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区域</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诚信纳税等级</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上年内重大虚代开发票或骗税案件</w:t>
            </w:r>
          </w:p>
        </w:tc>
      </w:tr>
      <w:tr>
        <w:tblPrEx>
          <w:tblCellMar>
            <w:top w:w="0" w:type="dxa"/>
            <w:left w:w="0" w:type="dxa"/>
            <w:bottom w:w="0" w:type="dxa"/>
            <w:right w:w="0" w:type="dxa"/>
          </w:tblCellMar>
        </w:tblPrEx>
        <w:trPr>
          <w:trHeight w:val="27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r>
    </w:tbl>
    <w:p>
      <w:pPr>
        <w:spacing w:line="560" w:lineRule="exact"/>
        <w:ind w:firstLine="0"/>
        <w:rPr>
          <w:rFonts w:ascii="宋体" w:hAnsi="宋体" w:eastAsia="宋体" w:cs="宋体"/>
          <w:color w:val="000000"/>
          <w:sz w:val="21"/>
          <w:szCs w:val="21"/>
        </w:rPr>
      </w:pPr>
    </w:p>
    <w:p>
      <w:pPr>
        <w:spacing w:line="560" w:lineRule="exact"/>
        <w:ind w:firstLine="0"/>
        <w:rPr>
          <w:rFonts w:ascii="宋体" w:hAnsi="宋体" w:eastAsia="宋体" w:cs="宋体"/>
          <w:color w:val="000000"/>
          <w:sz w:val="21"/>
          <w:szCs w:val="21"/>
        </w:rPr>
      </w:pPr>
    </w:p>
    <w:p>
      <w:pPr>
        <w:spacing w:line="560" w:lineRule="exact"/>
        <w:ind w:firstLine="0"/>
        <w:rPr>
          <w:rFonts w:ascii="宋体" w:hAnsi="宋体" w:eastAsia="宋体" w:cs="宋体"/>
          <w:color w:val="000000"/>
          <w:sz w:val="21"/>
          <w:szCs w:val="21"/>
        </w:rPr>
      </w:pPr>
    </w:p>
    <w:tbl>
      <w:tblPr>
        <w:tblStyle w:val="9"/>
        <w:tblW w:w="13069" w:type="dxa"/>
        <w:jc w:val="center"/>
        <w:tblLayout w:type="fixed"/>
        <w:tblCellMar>
          <w:top w:w="0" w:type="dxa"/>
          <w:left w:w="0" w:type="dxa"/>
          <w:bottom w:w="0" w:type="dxa"/>
          <w:right w:w="0" w:type="dxa"/>
        </w:tblCellMar>
      </w:tblPr>
      <w:tblGrid>
        <w:gridCol w:w="832"/>
        <w:gridCol w:w="832"/>
        <w:gridCol w:w="2169"/>
        <w:gridCol w:w="2220"/>
        <w:gridCol w:w="945"/>
        <w:gridCol w:w="1098"/>
        <w:gridCol w:w="1197"/>
        <w:gridCol w:w="2094"/>
        <w:gridCol w:w="1682"/>
      </w:tblGrid>
      <w:tr>
        <w:tblPrEx>
          <w:tblCellMar>
            <w:top w:w="0" w:type="dxa"/>
            <w:left w:w="0" w:type="dxa"/>
            <w:bottom w:w="0" w:type="dxa"/>
            <w:right w:w="0" w:type="dxa"/>
          </w:tblCellMar>
        </w:tblPrEx>
        <w:trPr>
          <w:trHeight w:val="940" w:hRule="atLeast"/>
          <w:jc w:val="center"/>
        </w:trPr>
        <w:tc>
          <w:tcPr>
            <w:tcW w:w="13069" w:type="dxa"/>
            <w:gridSpan w:val="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36"/>
                <w:szCs w:val="36"/>
              </w:rPr>
            </w:pPr>
            <w:r>
              <w:rPr>
                <w:rFonts w:hint="eastAsia" w:ascii="仿宋_GB2312" w:eastAsia="仿宋_GB2312"/>
                <w:snapToGrid/>
                <w:kern w:val="3"/>
                <w:sz w:val="32"/>
                <w:szCs w:val="32"/>
              </w:rPr>
              <w:t>22.企业用电数据表(区供电公司提供)</w:t>
            </w:r>
          </w:p>
        </w:tc>
      </w:tr>
      <w:tr>
        <w:tblPrEx>
          <w:tblCellMar>
            <w:top w:w="0" w:type="dxa"/>
            <w:left w:w="0" w:type="dxa"/>
            <w:bottom w:w="0" w:type="dxa"/>
            <w:right w:w="0" w:type="dxa"/>
          </w:tblCellMar>
        </w:tblPrEx>
        <w:trPr>
          <w:trHeight w:val="27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年度</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月份</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统一社会信用代码</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单位名称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市</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市县区</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区域</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企业用电量</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（万千瓦时）</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折算能耗</w:t>
            </w:r>
          </w:p>
        </w:tc>
      </w:tr>
      <w:tr>
        <w:tblPrEx>
          <w:tblCellMar>
            <w:top w:w="0" w:type="dxa"/>
            <w:left w:w="0" w:type="dxa"/>
            <w:bottom w:w="0" w:type="dxa"/>
            <w:right w:w="0" w:type="dxa"/>
          </w:tblCellMar>
        </w:tblPrEx>
        <w:trPr>
          <w:trHeight w:val="27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jc w:val="center"/>
              <w:textAlignment w:val="center"/>
              <w:rPr>
                <w:rFonts w:ascii="宋体" w:hAnsi="宋体" w:eastAsia="宋体" w:cs="宋体"/>
                <w:color w:val="000000"/>
                <w:sz w:val="22"/>
                <w:szCs w:val="22"/>
              </w:rPr>
            </w:pPr>
          </w:p>
        </w:tc>
      </w:tr>
    </w:tbl>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p>
      <w:pPr>
        <w:spacing w:line="560" w:lineRule="exact"/>
        <w:ind w:firstLine="0"/>
        <w:rPr>
          <w:rFonts w:ascii="Times New Roman" w:eastAsia="仿宋_GB2312"/>
          <w:szCs w:val="32"/>
        </w:rPr>
      </w:pPr>
    </w:p>
    <w:tbl>
      <w:tblPr>
        <w:tblStyle w:val="9"/>
        <w:tblW w:w="13038" w:type="dxa"/>
        <w:tblInd w:w="0" w:type="dxa"/>
        <w:tblLayout w:type="fixed"/>
        <w:tblCellMar>
          <w:top w:w="0" w:type="dxa"/>
          <w:left w:w="0" w:type="dxa"/>
          <w:bottom w:w="0" w:type="dxa"/>
          <w:right w:w="0" w:type="dxa"/>
        </w:tblCellMar>
      </w:tblPr>
      <w:tblGrid>
        <w:gridCol w:w="352"/>
        <w:gridCol w:w="441"/>
        <w:gridCol w:w="716"/>
        <w:gridCol w:w="925"/>
        <w:gridCol w:w="459"/>
        <w:gridCol w:w="445"/>
        <w:gridCol w:w="638"/>
        <w:gridCol w:w="522"/>
        <w:gridCol w:w="808"/>
        <w:gridCol w:w="585"/>
        <w:gridCol w:w="544"/>
        <w:gridCol w:w="502"/>
        <w:gridCol w:w="571"/>
        <w:gridCol w:w="863"/>
        <w:gridCol w:w="946"/>
        <w:gridCol w:w="829"/>
        <w:gridCol w:w="916"/>
        <w:gridCol w:w="967"/>
        <w:gridCol w:w="1009"/>
      </w:tblGrid>
      <w:tr>
        <w:trPr>
          <w:trHeight w:val="779" w:hRule="atLeast"/>
        </w:trPr>
        <w:tc>
          <w:tcPr>
            <w:tcW w:w="11062" w:type="dxa"/>
            <w:gridSpan w:val="17"/>
            <w:tcBorders>
              <w:top w:val="nil"/>
              <w:left w:val="nil"/>
              <w:bottom w:val="nil"/>
              <w:right w:val="nil"/>
            </w:tcBorders>
            <w:shd w:val="clear" w:color="auto" w:fill="FEFEFE"/>
            <w:noWrap/>
            <w:tcMar>
              <w:top w:w="15" w:type="dxa"/>
              <w:left w:w="15" w:type="dxa"/>
              <w:right w:w="15" w:type="dxa"/>
            </w:tcMar>
            <w:vAlign w:val="bottom"/>
          </w:tcPr>
          <w:p>
            <w:pPr>
              <w:widowControl/>
              <w:jc w:val="left"/>
              <w:textAlignment w:val="bottom"/>
              <w:rPr>
                <w:rFonts w:ascii="宋体" w:hAnsi="宋体" w:eastAsia="宋体" w:cs="宋体"/>
                <w:b/>
                <w:color w:val="000000"/>
                <w:sz w:val="36"/>
                <w:szCs w:val="36"/>
              </w:rPr>
            </w:pPr>
            <w:r>
              <w:rPr>
                <w:rFonts w:hint="eastAsia" w:ascii="仿宋_GB2312" w:eastAsia="仿宋_GB2312"/>
                <w:snapToGrid/>
                <w:color w:val="auto"/>
                <w:kern w:val="3"/>
                <w:sz w:val="32"/>
                <w:szCs w:val="32"/>
              </w:rPr>
              <w:t>23.工业企业（含规下）基本信息表（各镇、园区提供）</w:t>
            </w:r>
          </w:p>
        </w:tc>
        <w:tc>
          <w:tcPr>
            <w:tcW w:w="967" w:type="dxa"/>
            <w:tcBorders>
              <w:top w:val="nil"/>
              <w:left w:val="nil"/>
              <w:bottom w:val="nil"/>
              <w:right w:val="nil"/>
            </w:tcBorders>
            <w:shd w:val="clear" w:color="auto" w:fill="FEFEFE"/>
            <w:noWrap/>
            <w:tcMar>
              <w:top w:w="15" w:type="dxa"/>
              <w:left w:w="15" w:type="dxa"/>
              <w:right w:w="15" w:type="dxa"/>
            </w:tcMar>
            <w:vAlign w:val="bottom"/>
          </w:tcPr>
          <w:p>
            <w:pPr>
              <w:widowControl/>
              <w:jc w:val="center"/>
              <w:textAlignment w:val="bottom"/>
              <w:rPr>
                <w:rFonts w:ascii="方正小标宋简体" w:eastAsia="方正小标宋简体"/>
                <w:snapToGrid/>
                <w:color w:val="000000"/>
                <w:kern w:val="3"/>
                <w:sz w:val="36"/>
                <w:szCs w:val="36"/>
              </w:rPr>
            </w:pPr>
          </w:p>
        </w:tc>
        <w:tc>
          <w:tcPr>
            <w:tcW w:w="1009" w:type="dxa"/>
            <w:tcBorders>
              <w:top w:val="nil"/>
              <w:left w:val="nil"/>
              <w:bottom w:val="nil"/>
              <w:right w:val="nil"/>
            </w:tcBorders>
            <w:shd w:val="clear" w:color="auto" w:fill="FEFEFE"/>
            <w:noWrap/>
            <w:tcMar>
              <w:top w:w="15" w:type="dxa"/>
              <w:left w:w="15" w:type="dxa"/>
              <w:right w:w="15" w:type="dxa"/>
            </w:tcMar>
            <w:vAlign w:val="bottom"/>
          </w:tcPr>
          <w:p>
            <w:pPr>
              <w:widowControl/>
              <w:jc w:val="center"/>
              <w:textAlignment w:val="bottom"/>
              <w:rPr>
                <w:rFonts w:ascii="方正小标宋简体" w:eastAsia="方正小标宋简体"/>
                <w:snapToGrid/>
                <w:color w:val="000000"/>
                <w:kern w:val="3"/>
                <w:sz w:val="36"/>
                <w:szCs w:val="36"/>
              </w:rPr>
            </w:pPr>
          </w:p>
        </w:tc>
      </w:tr>
      <w:tr>
        <w:tblPrEx>
          <w:tblCellMar>
            <w:top w:w="0" w:type="dxa"/>
            <w:left w:w="0" w:type="dxa"/>
            <w:bottom w:w="0" w:type="dxa"/>
            <w:right w:w="0" w:type="dxa"/>
          </w:tblCellMar>
        </w:tblPrEx>
        <w:trPr>
          <w:trHeight w:val="1553" w:hRule="atLeast"/>
        </w:trPr>
        <w:tc>
          <w:tcPr>
            <w:tcW w:w="3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年度</w:t>
            </w:r>
          </w:p>
        </w:tc>
        <w:tc>
          <w:tcPr>
            <w:tcW w:w="4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月份</w:t>
            </w:r>
          </w:p>
        </w:tc>
        <w:tc>
          <w:tcPr>
            <w:tcW w:w="71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统一社会信用代码</w:t>
            </w:r>
          </w:p>
        </w:tc>
        <w:tc>
          <w:tcPr>
            <w:tcW w:w="9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单位</w:t>
            </w:r>
          </w:p>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名称</w:t>
            </w:r>
          </w:p>
        </w:tc>
        <w:tc>
          <w:tcPr>
            <w:tcW w:w="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w:t>
            </w:r>
          </w:p>
        </w:tc>
        <w:tc>
          <w:tcPr>
            <w:tcW w:w="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市县区</w:t>
            </w:r>
          </w:p>
        </w:tc>
        <w:tc>
          <w:tcPr>
            <w:tcW w:w="6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区域</w:t>
            </w:r>
          </w:p>
        </w:tc>
        <w:tc>
          <w:tcPr>
            <w:tcW w:w="5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行业分类</w:t>
            </w:r>
          </w:p>
        </w:tc>
        <w:tc>
          <w:tcPr>
            <w:tcW w:w="8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住所（经</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营场所）</w:t>
            </w:r>
          </w:p>
        </w:tc>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经营范围</w:t>
            </w:r>
          </w:p>
        </w:tc>
        <w:tc>
          <w:tcPr>
            <w:tcW w:w="5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注册时间</w:t>
            </w:r>
          </w:p>
        </w:tc>
        <w:tc>
          <w:tcPr>
            <w:tcW w:w="5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企业类型</w:t>
            </w:r>
          </w:p>
        </w:tc>
        <w:tc>
          <w:tcPr>
            <w:tcW w:w="5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注册资金</w:t>
            </w:r>
          </w:p>
        </w:tc>
        <w:tc>
          <w:tcPr>
            <w:tcW w:w="86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法人代表</w:t>
            </w:r>
          </w:p>
        </w:tc>
        <w:tc>
          <w:tcPr>
            <w:tcW w:w="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联系电话</w:t>
            </w:r>
          </w:p>
        </w:tc>
        <w:tc>
          <w:tcPr>
            <w:tcW w:w="8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规上/</w:t>
            </w:r>
          </w:p>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规下</w:t>
            </w:r>
          </w:p>
        </w:tc>
        <w:tc>
          <w:tcPr>
            <w:tcW w:w="91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是否年度新增企业</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企业职工人数</w:t>
            </w:r>
          </w:p>
        </w:tc>
        <w:tc>
          <w:tcPr>
            <w:tcW w:w="10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jc w:val="center"/>
              <w:textAlignment w:val="center"/>
              <w:rPr>
                <w:rFonts w:ascii="等线" w:hAnsi="等线" w:eastAsia="等线" w:cs="等线"/>
                <w:color w:val="000000"/>
                <w:sz w:val="21"/>
                <w:szCs w:val="21"/>
              </w:rPr>
            </w:pPr>
            <w:r>
              <w:rPr>
                <w:rFonts w:ascii="等线" w:hAnsi="等线" w:eastAsia="等线" w:cs="等线"/>
                <w:color w:val="000000"/>
                <w:sz w:val="21"/>
                <w:szCs w:val="21"/>
              </w:rPr>
              <w:t>综合能耗总量</w:t>
            </w:r>
            <w:r>
              <w:rPr>
                <w:rFonts w:hint="eastAsia" w:ascii="等线" w:hAnsi="等线" w:eastAsia="等线" w:cs="等线"/>
                <w:color w:val="000000"/>
                <w:sz w:val="21"/>
                <w:szCs w:val="21"/>
              </w:rPr>
              <w:t>（吨标煤）</w:t>
            </w:r>
          </w:p>
        </w:tc>
      </w:tr>
      <w:tr>
        <w:tblPrEx>
          <w:tblCellMar>
            <w:top w:w="0" w:type="dxa"/>
            <w:left w:w="0" w:type="dxa"/>
            <w:bottom w:w="0" w:type="dxa"/>
            <w:right w:w="0" w:type="dxa"/>
          </w:tblCellMar>
        </w:tblPrEx>
        <w:trPr>
          <w:trHeight w:val="1124" w:hRule="atLeast"/>
        </w:trPr>
        <w:tc>
          <w:tcPr>
            <w:tcW w:w="3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4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71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4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等线" w:hAnsi="等线" w:eastAsia="等线" w:cs="等线"/>
                <w:color w:val="000000"/>
                <w:sz w:val="21"/>
                <w:szCs w:val="21"/>
              </w:rPr>
            </w:pPr>
          </w:p>
        </w:tc>
        <w:tc>
          <w:tcPr>
            <w:tcW w:w="6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5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8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5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5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5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86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8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1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c>
          <w:tcPr>
            <w:tcW w:w="10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5" w:type="dxa"/>
              <w:left w:w="15" w:type="dxa"/>
              <w:right w:w="15" w:type="dxa"/>
            </w:tcMar>
            <w:vAlign w:val="center"/>
          </w:tcPr>
          <w:p>
            <w:pPr>
              <w:widowControl/>
              <w:ind w:firstLine="0"/>
              <w:textAlignment w:val="center"/>
              <w:rPr>
                <w:rFonts w:ascii="宋体" w:hAnsi="宋体" w:eastAsia="宋体" w:cs="宋体"/>
                <w:color w:val="000000"/>
                <w:sz w:val="22"/>
                <w:szCs w:val="22"/>
              </w:rPr>
            </w:pPr>
          </w:p>
        </w:tc>
      </w:tr>
    </w:tbl>
    <w:p>
      <w:pPr>
        <w:spacing w:line="560" w:lineRule="exact"/>
        <w:ind w:firstLine="0"/>
        <w:rPr>
          <w:rFonts w:ascii="Times New Roman" w:eastAsia="仿宋_GB2312"/>
          <w:szCs w:val="32"/>
        </w:rPr>
      </w:pPr>
    </w:p>
    <w:sectPr>
      <w:pgSz w:w="16838" w:h="11906" w:orient="landscape"/>
      <w:pgMar w:top="1531" w:right="1814" w:bottom="1531" w:left="1985" w:header="851" w:footer="1474" w:gutter="0"/>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仿宋">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汉鼎简黑体">
    <w:altName w:val="宋体"/>
    <w:panose1 w:val="00000000000000000000"/>
    <w:charset w:val="86"/>
    <w:family w:val="roman"/>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汉鼎简楷体">
    <w:altName w:val="黑体"/>
    <w:panose1 w:val="00000000000000000000"/>
    <w:charset w:val="86"/>
    <w:family w:val="roma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0"/>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drawingGridHorizontalSpacing w:val="315"/>
  <w:drawingGridVerticalSpacing w:val="295"/>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MTIxOGE1YWVhM2NiMzQ3ZjlmYzdlMDEzZTE5YTcifQ=="/>
  </w:docVars>
  <w:rsids>
    <w:rsidRoot w:val="00FE380A"/>
    <w:rsid w:val="00000856"/>
    <w:rsid w:val="00000D19"/>
    <w:rsid w:val="00003841"/>
    <w:rsid w:val="00022501"/>
    <w:rsid w:val="00023AFF"/>
    <w:rsid w:val="00033CA0"/>
    <w:rsid w:val="00036EF3"/>
    <w:rsid w:val="000739BA"/>
    <w:rsid w:val="00076D62"/>
    <w:rsid w:val="0008675F"/>
    <w:rsid w:val="00086CD8"/>
    <w:rsid w:val="00095AB3"/>
    <w:rsid w:val="00097B0E"/>
    <w:rsid w:val="000D3AA4"/>
    <w:rsid w:val="000D6BBA"/>
    <w:rsid w:val="000E1E60"/>
    <w:rsid w:val="000F2FD7"/>
    <w:rsid w:val="001021A3"/>
    <w:rsid w:val="00102DF7"/>
    <w:rsid w:val="00105959"/>
    <w:rsid w:val="00111B75"/>
    <w:rsid w:val="00112728"/>
    <w:rsid w:val="00122C9F"/>
    <w:rsid w:val="00123EAA"/>
    <w:rsid w:val="00124DC7"/>
    <w:rsid w:val="00127C92"/>
    <w:rsid w:val="00150AD1"/>
    <w:rsid w:val="0015208E"/>
    <w:rsid w:val="00152FC9"/>
    <w:rsid w:val="00165FEB"/>
    <w:rsid w:val="00194616"/>
    <w:rsid w:val="001A4CF1"/>
    <w:rsid w:val="001E7924"/>
    <w:rsid w:val="001F1C65"/>
    <w:rsid w:val="00212F04"/>
    <w:rsid w:val="00213D90"/>
    <w:rsid w:val="00214A23"/>
    <w:rsid w:val="00236533"/>
    <w:rsid w:val="0024259C"/>
    <w:rsid w:val="002512C5"/>
    <w:rsid w:val="00265E18"/>
    <w:rsid w:val="00272830"/>
    <w:rsid w:val="00275B39"/>
    <w:rsid w:val="0028333C"/>
    <w:rsid w:val="00295138"/>
    <w:rsid w:val="002A00AE"/>
    <w:rsid w:val="002B7195"/>
    <w:rsid w:val="002C4ED6"/>
    <w:rsid w:val="002D0814"/>
    <w:rsid w:val="002D71EA"/>
    <w:rsid w:val="002F0CCC"/>
    <w:rsid w:val="002F66F9"/>
    <w:rsid w:val="002F7320"/>
    <w:rsid w:val="00301048"/>
    <w:rsid w:val="003023FC"/>
    <w:rsid w:val="003248FB"/>
    <w:rsid w:val="00324F4D"/>
    <w:rsid w:val="003451BD"/>
    <w:rsid w:val="0034582B"/>
    <w:rsid w:val="00374C2B"/>
    <w:rsid w:val="00390E6A"/>
    <w:rsid w:val="00393A59"/>
    <w:rsid w:val="003A2FEC"/>
    <w:rsid w:val="003A37B1"/>
    <w:rsid w:val="003A619C"/>
    <w:rsid w:val="003B132C"/>
    <w:rsid w:val="003C1154"/>
    <w:rsid w:val="003D4590"/>
    <w:rsid w:val="003F3B33"/>
    <w:rsid w:val="0040293A"/>
    <w:rsid w:val="0040712F"/>
    <w:rsid w:val="00412BD2"/>
    <w:rsid w:val="0042087C"/>
    <w:rsid w:val="00427E6D"/>
    <w:rsid w:val="004319D7"/>
    <w:rsid w:val="00441F2A"/>
    <w:rsid w:val="00447723"/>
    <w:rsid w:val="004606CD"/>
    <w:rsid w:val="004614F2"/>
    <w:rsid w:val="004631A1"/>
    <w:rsid w:val="00463453"/>
    <w:rsid w:val="0046562E"/>
    <w:rsid w:val="00466302"/>
    <w:rsid w:val="004775DA"/>
    <w:rsid w:val="004A4894"/>
    <w:rsid w:val="004A5E94"/>
    <w:rsid w:val="004B21C4"/>
    <w:rsid w:val="004D17B6"/>
    <w:rsid w:val="004D1AE6"/>
    <w:rsid w:val="004D2E7A"/>
    <w:rsid w:val="005110E9"/>
    <w:rsid w:val="00517729"/>
    <w:rsid w:val="0052226D"/>
    <w:rsid w:val="00551E5A"/>
    <w:rsid w:val="005568C0"/>
    <w:rsid w:val="00567940"/>
    <w:rsid w:val="005B1FAA"/>
    <w:rsid w:val="005D3BB8"/>
    <w:rsid w:val="005D725E"/>
    <w:rsid w:val="005F7A57"/>
    <w:rsid w:val="005F7C84"/>
    <w:rsid w:val="00602240"/>
    <w:rsid w:val="0060684F"/>
    <w:rsid w:val="00612B21"/>
    <w:rsid w:val="006131E7"/>
    <w:rsid w:val="0061377A"/>
    <w:rsid w:val="00615621"/>
    <w:rsid w:val="00615B05"/>
    <w:rsid w:val="00617C8A"/>
    <w:rsid w:val="0063262F"/>
    <w:rsid w:val="00635EA3"/>
    <w:rsid w:val="00661761"/>
    <w:rsid w:val="00663E1F"/>
    <w:rsid w:val="00681CD0"/>
    <w:rsid w:val="00683ED4"/>
    <w:rsid w:val="006C46A1"/>
    <w:rsid w:val="006D5860"/>
    <w:rsid w:val="006D730A"/>
    <w:rsid w:val="006D7EDB"/>
    <w:rsid w:val="006F5F5E"/>
    <w:rsid w:val="00721882"/>
    <w:rsid w:val="00723C94"/>
    <w:rsid w:val="00764BA1"/>
    <w:rsid w:val="007726EF"/>
    <w:rsid w:val="00775466"/>
    <w:rsid w:val="00790865"/>
    <w:rsid w:val="007A417A"/>
    <w:rsid w:val="007B1DC8"/>
    <w:rsid w:val="007B756A"/>
    <w:rsid w:val="007C0B84"/>
    <w:rsid w:val="007D13FD"/>
    <w:rsid w:val="007D2FF7"/>
    <w:rsid w:val="007D4037"/>
    <w:rsid w:val="007E40BF"/>
    <w:rsid w:val="007E7D1B"/>
    <w:rsid w:val="007F33D3"/>
    <w:rsid w:val="007F6318"/>
    <w:rsid w:val="007F778B"/>
    <w:rsid w:val="00806394"/>
    <w:rsid w:val="0082497E"/>
    <w:rsid w:val="008349CC"/>
    <w:rsid w:val="00863B9E"/>
    <w:rsid w:val="00871EE7"/>
    <w:rsid w:val="00890FFD"/>
    <w:rsid w:val="008B05CF"/>
    <w:rsid w:val="008B21FB"/>
    <w:rsid w:val="008B59DA"/>
    <w:rsid w:val="0090290D"/>
    <w:rsid w:val="00910517"/>
    <w:rsid w:val="009154B8"/>
    <w:rsid w:val="00925CC4"/>
    <w:rsid w:val="00926CD9"/>
    <w:rsid w:val="00950263"/>
    <w:rsid w:val="00951F85"/>
    <w:rsid w:val="0095213D"/>
    <w:rsid w:val="00954D63"/>
    <w:rsid w:val="00960F7B"/>
    <w:rsid w:val="00980A44"/>
    <w:rsid w:val="009831D4"/>
    <w:rsid w:val="00986227"/>
    <w:rsid w:val="009867BC"/>
    <w:rsid w:val="00996078"/>
    <w:rsid w:val="009B3FD7"/>
    <w:rsid w:val="009C18AF"/>
    <w:rsid w:val="009C6D7E"/>
    <w:rsid w:val="009C76BE"/>
    <w:rsid w:val="009D1BDB"/>
    <w:rsid w:val="009D69E0"/>
    <w:rsid w:val="009E157B"/>
    <w:rsid w:val="009F5851"/>
    <w:rsid w:val="00A03CCF"/>
    <w:rsid w:val="00A14A4B"/>
    <w:rsid w:val="00A27C7A"/>
    <w:rsid w:val="00A56566"/>
    <w:rsid w:val="00A622B1"/>
    <w:rsid w:val="00A62D9B"/>
    <w:rsid w:val="00A838D1"/>
    <w:rsid w:val="00A91AC5"/>
    <w:rsid w:val="00A91DF5"/>
    <w:rsid w:val="00AA0CD7"/>
    <w:rsid w:val="00AB7FE3"/>
    <w:rsid w:val="00AC17E0"/>
    <w:rsid w:val="00AC7FF5"/>
    <w:rsid w:val="00AD594C"/>
    <w:rsid w:val="00AF2197"/>
    <w:rsid w:val="00B00EAC"/>
    <w:rsid w:val="00B023FE"/>
    <w:rsid w:val="00B57054"/>
    <w:rsid w:val="00B72057"/>
    <w:rsid w:val="00B72AAB"/>
    <w:rsid w:val="00B737CD"/>
    <w:rsid w:val="00B767FA"/>
    <w:rsid w:val="00B82947"/>
    <w:rsid w:val="00B839BD"/>
    <w:rsid w:val="00B909C5"/>
    <w:rsid w:val="00B94CA7"/>
    <w:rsid w:val="00BC1586"/>
    <w:rsid w:val="00BC513B"/>
    <w:rsid w:val="00BC54B3"/>
    <w:rsid w:val="00C25008"/>
    <w:rsid w:val="00C34628"/>
    <w:rsid w:val="00C40D70"/>
    <w:rsid w:val="00C64067"/>
    <w:rsid w:val="00C64242"/>
    <w:rsid w:val="00C64FF5"/>
    <w:rsid w:val="00C702A8"/>
    <w:rsid w:val="00C758AC"/>
    <w:rsid w:val="00C77ED0"/>
    <w:rsid w:val="00C8152B"/>
    <w:rsid w:val="00CA1589"/>
    <w:rsid w:val="00CD3076"/>
    <w:rsid w:val="00CD5176"/>
    <w:rsid w:val="00CD67DE"/>
    <w:rsid w:val="00CE0373"/>
    <w:rsid w:val="00CE4ABF"/>
    <w:rsid w:val="00D144E1"/>
    <w:rsid w:val="00D2230F"/>
    <w:rsid w:val="00D24DEE"/>
    <w:rsid w:val="00D274BB"/>
    <w:rsid w:val="00D35EE3"/>
    <w:rsid w:val="00D44A42"/>
    <w:rsid w:val="00D514B6"/>
    <w:rsid w:val="00D63F2A"/>
    <w:rsid w:val="00D707F0"/>
    <w:rsid w:val="00D74A70"/>
    <w:rsid w:val="00DA2CC6"/>
    <w:rsid w:val="00DA3234"/>
    <w:rsid w:val="00DB52DE"/>
    <w:rsid w:val="00DB5C2E"/>
    <w:rsid w:val="00DC08EA"/>
    <w:rsid w:val="00DC4E10"/>
    <w:rsid w:val="00DD0DCC"/>
    <w:rsid w:val="00DE6BB2"/>
    <w:rsid w:val="00DF3D44"/>
    <w:rsid w:val="00DF6E50"/>
    <w:rsid w:val="00DF7192"/>
    <w:rsid w:val="00E001CF"/>
    <w:rsid w:val="00E008B2"/>
    <w:rsid w:val="00E206FC"/>
    <w:rsid w:val="00E41E5B"/>
    <w:rsid w:val="00E5032A"/>
    <w:rsid w:val="00E61A53"/>
    <w:rsid w:val="00E63370"/>
    <w:rsid w:val="00E70048"/>
    <w:rsid w:val="00E80F6C"/>
    <w:rsid w:val="00E840D7"/>
    <w:rsid w:val="00EA058C"/>
    <w:rsid w:val="00ED33AE"/>
    <w:rsid w:val="00EE1128"/>
    <w:rsid w:val="00F04505"/>
    <w:rsid w:val="00F60273"/>
    <w:rsid w:val="00F667A5"/>
    <w:rsid w:val="00F70C7E"/>
    <w:rsid w:val="00F977BA"/>
    <w:rsid w:val="00FB0BB8"/>
    <w:rsid w:val="00FB2978"/>
    <w:rsid w:val="00FB527E"/>
    <w:rsid w:val="00FE380A"/>
    <w:rsid w:val="00FF6D8F"/>
    <w:rsid w:val="032C4BE6"/>
    <w:rsid w:val="03D85379"/>
    <w:rsid w:val="056375FC"/>
    <w:rsid w:val="05C30D64"/>
    <w:rsid w:val="062C2B80"/>
    <w:rsid w:val="07B85EF9"/>
    <w:rsid w:val="08055CAB"/>
    <w:rsid w:val="08397C29"/>
    <w:rsid w:val="090E3F24"/>
    <w:rsid w:val="0AAD68AE"/>
    <w:rsid w:val="0ABB12E8"/>
    <w:rsid w:val="0B9604F9"/>
    <w:rsid w:val="0F6A339A"/>
    <w:rsid w:val="112706BB"/>
    <w:rsid w:val="11B31925"/>
    <w:rsid w:val="15630788"/>
    <w:rsid w:val="16881768"/>
    <w:rsid w:val="174316D1"/>
    <w:rsid w:val="18A3711C"/>
    <w:rsid w:val="1E2D2A19"/>
    <w:rsid w:val="21E30AD6"/>
    <w:rsid w:val="22EB44E3"/>
    <w:rsid w:val="236944B9"/>
    <w:rsid w:val="23DB3D75"/>
    <w:rsid w:val="25051397"/>
    <w:rsid w:val="25D96410"/>
    <w:rsid w:val="297568F1"/>
    <w:rsid w:val="29D64538"/>
    <w:rsid w:val="2A6B4878"/>
    <w:rsid w:val="2B5C67DA"/>
    <w:rsid w:val="2BBE1B4A"/>
    <w:rsid w:val="2D3A7C70"/>
    <w:rsid w:val="2DBD2768"/>
    <w:rsid w:val="2DE2072E"/>
    <w:rsid w:val="2E2050E0"/>
    <w:rsid w:val="2E2A1979"/>
    <w:rsid w:val="2ED44755"/>
    <w:rsid w:val="2F5B5D35"/>
    <w:rsid w:val="31A8029B"/>
    <w:rsid w:val="3403553A"/>
    <w:rsid w:val="34477CA9"/>
    <w:rsid w:val="350E4496"/>
    <w:rsid w:val="35C16F86"/>
    <w:rsid w:val="36EB770A"/>
    <w:rsid w:val="371D5D20"/>
    <w:rsid w:val="371F4F1E"/>
    <w:rsid w:val="37B955B3"/>
    <w:rsid w:val="3A2A708F"/>
    <w:rsid w:val="3B341332"/>
    <w:rsid w:val="3CEA77FF"/>
    <w:rsid w:val="410D53CD"/>
    <w:rsid w:val="41DC783A"/>
    <w:rsid w:val="42113F9B"/>
    <w:rsid w:val="43B020A0"/>
    <w:rsid w:val="43B51DAB"/>
    <w:rsid w:val="4596070F"/>
    <w:rsid w:val="463737B0"/>
    <w:rsid w:val="481527D1"/>
    <w:rsid w:val="4A53073C"/>
    <w:rsid w:val="4ACA346A"/>
    <w:rsid w:val="4B226F7C"/>
    <w:rsid w:val="4DD96B4C"/>
    <w:rsid w:val="50CF24B3"/>
    <w:rsid w:val="53C10968"/>
    <w:rsid w:val="5556509A"/>
    <w:rsid w:val="58174804"/>
    <w:rsid w:val="581B5AA6"/>
    <w:rsid w:val="5A422251"/>
    <w:rsid w:val="5ACB4289"/>
    <w:rsid w:val="5C3409D7"/>
    <w:rsid w:val="5CBC69CA"/>
    <w:rsid w:val="5EA07AE3"/>
    <w:rsid w:val="5ECD286D"/>
    <w:rsid w:val="5FB36805"/>
    <w:rsid w:val="60F32703"/>
    <w:rsid w:val="611A5DD1"/>
    <w:rsid w:val="62554AE9"/>
    <w:rsid w:val="63071DD4"/>
    <w:rsid w:val="634436D2"/>
    <w:rsid w:val="643C367E"/>
    <w:rsid w:val="652E0E6F"/>
    <w:rsid w:val="6550222F"/>
    <w:rsid w:val="65E54C12"/>
    <w:rsid w:val="66140118"/>
    <w:rsid w:val="663639B8"/>
    <w:rsid w:val="665719C6"/>
    <w:rsid w:val="666A08A6"/>
    <w:rsid w:val="66A30B86"/>
    <w:rsid w:val="676321C4"/>
    <w:rsid w:val="68E70687"/>
    <w:rsid w:val="6A0946A9"/>
    <w:rsid w:val="71713FF1"/>
    <w:rsid w:val="73FA418A"/>
    <w:rsid w:val="764177BF"/>
    <w:rsid w:val="778800F2"/>
    <w:rsid w:val="79D21967"/>
    <w:rsid w:val="7A0D1075"/>
    <w:rsid w:val="7C351369"/>
    <w:rsid w:val="7D8227F4"/>
    <w:rsid w:val="7DEC5011"/>
    <w:rsid w:val="7DFD1F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汉鼎简仿宋" w:hAnsi="Times New Roman" w:eastAsia="汉鼎简仿宋"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rFonts w:ascii="宋体" w:hAnsi="宋体" w:eastAsia="宋体"/>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qFormat/>
    <w:uiPriority w:val="0"/>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styleId="8">
    <w:name w:val="Title"/>
    <w:basedOn w:val="1"/>
    <w:next w:val="1"/>
    <w:link w:val="13"/>
    <w:qFormat/>
    <w:uiPriority w:val="0"/>
    <w:pPr>
      <w:autoSpaceDE/>
      <w:autoSpaceDN/>
      <w:snapToGrid/>
      <w:spacing w:before="240" w:after="60" w:line="240" w:lineRule="auto"/>
      <w:ind w:firstLine="0"/>
      <w:jc w:val="center"/>
      <w:outlineLvl w:val="0"/>
    </w:pPr>
    <w:rPr>
      <w:rFonts w:ascii="Cambria" w:hAnsi="Cambria" w:eastAsia="Times New Roman"/>
      <w:b/>
      <w:bCs/>
      <w:snapToGrid/>
      <w:kern w:val="2"/>
      <w:szCs w:val="32"/>
    </w:rPr>
  </w:style>
  <w:style w:type="table" w:styleId="10">
    <w:name w:val="Table Grid"/>
    <w:basedOn w:val="9"/>
    <w:qFormat/>
    <w:uiPriority w:val="0"/>
    <w:rPr>
      <w:rFonts w:asci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标题 Char"/>
    <w:basedOn w:val="11"/>
    <w:link w:val="8"/>
    <w:qFormat/>
    <w:locked/>
    <w:uiPriority w:val="0"/>
    <w:rPr>
      <w:rFonts w:ascii="Cambria" w:hAnsi="Cambria"/>
      <w:b/>
      <w:bCs/>
      <w:kern w:val="2"/>
      <w:sz w:val="32"/>
      <w:szCs w:val="32"/>
      <w:lang w:bidi="ar-SA"/>
    </w:rPr>
  </w:style>
  <w:style w:type="paragraph" w:customStyle="1" w:styleId="14">
    <w:name w:val="主题词"/>
    <w:basedOn w:val="1"/>
    <w:qFormat/>
    <w:uiPriority w:val="0"/>
    <w:pPr>
      <w:adjustRightInd w:val="0"/>
      <w:snapToGrid/>
      <w:spacing w:line="240" w:lineRule="atLeast"/>
      <w:ind w:firstLine="0"/>
      <w:jc w:val="left"/>
    </w:pPr>
    <w:rPr>
      <w:rFonts w:ascii="宋体" w:eastAsia="宋体"/>
      <w:b/>
    </w:rPr>
  </w:style>
  <w:style w:type="paragraph" w:customStyle="1" w:styleId="15">
    <w:name w:val="标题3"/>
    <w:basedOn w:val="1"/>
    <w:next w:val="1"/>
    <w:qFormat/>
    <w:uiPriority w:val="0"/>
    <w:rPr>
      <w:rFonts w:ascii="汉鼎简黑体" w:eastAsia="汉鼎简黑体"/>
    </w:rPr>
  </w:style>
  <w:style w:type="paragraph" w:customStyle="1" w:styleId="16">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7">
    <w:name w:val="附件栏"/>
    <w:basedOn w:val="1"/>
    <w:qFormat/>
    <w:uiPriority w:val="0"/>
  </w:style>
  <w:style w:type="paragraph" w:customStyle="1" w:styleId="18">
    <w:name w:val="抄送栏"/>
    <w:basedOn w:val="1"/>
    <w:qFormat/>
    <w:uiPriority w:val="0"/>
    <w:pPr>
      <w:adjustRightInd w:val="0"/>
      <w:snapToGrid/>
      <w:spacing w:line="454" w:lineRule="atLeast"/>
      <w:ind w:left="851" w:hanging="851"/>
    </w:pPr>
    <w:rPr>
      <w:sz w:val="28"/>
    </w:rPr>
  </w:style>
  <w:style w:type="paragraph" w:customStyle="1" w:styleId="19">
    <w:name w:val="印发栏"/>
    <w:basedOn w:val="3"/>
    <w:qFormat/>
    <w:uiPriority w:val="0"/>
    <w:pPr>
      <w:tabs>
        <w:tab w:val="left" w:pos="284"/>
        <w:tab w:val="left" w:pos="5387"/>
      </w:tabs>
      <w:spacing w:line="397" w:lineRule="atLeast"/>
    </w:pPr>
    <w:rPr>
      <w:spacing w:val="0"/>
      <w:sz w:val="28"/>
    </w:rPr>
  </w:style>
  <w:style w:type="paragraph" w:customStyle="1" w:styleId="20">
    <w:name w:val="线型"/>
    <w:basedOn w:val="18"/>
    <w:qFormat/>
    <w:uiPriority w:val="0"/>
    <w:pPr>
      <w:spacing w:line="240" w:lineRule="auto"/>
      <w:ind w:left="0" w:firstLine="0"/>
      <w:jc w:val="center"/>
    </w:pPr>
    <w:rPr>
      <w:sz w:val="21"/>
    </w:rPr>
  </w:style>
  <w:style w:type="paragraph" w:customStyle="1" w:styleId="21">
    <w:name w:val="标题1"/>
    <w:basedOn w:val="1"/>
    <w:next w:val="1"/>
    <w:qFormat/>
    <w:uiPriority w:val="0"/>
    <w:pPr>
      <w:tabs>
        <w:tab w:val="left" w:pos="9193"/>
        <w:tab w:val="left" w:pos="9827"/>
      </w:tabs>
      <w:spacing w:line="700" w:lineRule="atLeast"/>
      <w:ind w:firstLine="0"/>
      <w:jc w:val="center"/>
    </w:pPr>
    <w:rPr>
      <w:rFonts w:ascii="汉鼎简大宋" w:eastAsia="汉鼎简大宋"/>
      <w:sz w:val="44"/>
    </w:rPr>
  </w:style>
  <w:style w:type="paragraph" w:customStyle="1" w:styleId="22">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3">
    <w:name w:val="密级"/>
    <w:basedOn w:val="1"/>
    <w:qFormat/>
    <w:uiPriority w:val="0"/>
    <w:pPr>
      <w:adjustRightInd w:val="0"/>
      <w:snapToGrid/>
      <w:spacing w:line="425" w:lineRule="atLeast"/>
      <w:ind w:firstLine="0"/>
      <w:jc w:val="right"/>
    </w:pPr>
    <w:rPr>
      <w:rFonts w:ascii="黑体" w:eastAsia="黑体"/>
      <w:sz w:val="30"/>
    </w:rPr>
  </w:style>
  <w:style w:type="paragraph" w:customStyle="1" w:styleId="24">
    <w:name w:val="标题2"/>
    <w:basedOn w:val="1"/>
    <w:next w:val="1"/>
    <w:qFormat/>
    <w:uiPriority w:val="0"/>
    <w:pPr>
      <w:ind w:firstLine="0"/>
      <w:jc w:val="center"/>
    </w:pPr>
    <w:rPr>
      <w:rFonts w:ascii="汉鼎简楷体" w:hAnsi="Book Antiqua" w:eastAsia="汉鼎简楷体"/>
    </w:rPr>
  </w:style>
  <w:style w:type="paragraph" w:customStyle="1" w:styleId="25">
    <w:name w:val="紧急程度"/>
    <w:basedOn w:val="23"/>
    <w:qFormat/>
    <w:uiPriority w:val="0"/>
    <w:pPr>
      <w:spacing w:line="397" w:lineRule="atLeast"/>
    </w:pPr>
    <w:rPr>
      <w:rFonts w:ascii="汉鼎简黑体" w:hAnsi="汉鼎简黑体" w:eastAsia="汉鼎简黑体"/>
      <w:sz w:val="32"/>
    </w:rPr>
  </w:style>
  <w:style w:type="paragraph" w:customStyle="1" w:styleId="26">
    <w:name w:val="印数"/>
    <w:basedOn w:val="19"/>
    <w:qFormat/>
    <w:uiPriority w:val="0"/>
    <w:pPr>
      <w:jc w:val="right"/>
    </w:pPr>
  </w:style>
  <w:style w:type="paragraph" w:customStyle="1" w:styleId="27">
    <w:name w:val="列出段落1"/>
    <w:basedOn w:val="1"/>
    <w:qFormat/>
    <w:uiPriority w:val="0"/>
    <w:pPr>
      <w:autoSpaceDE/>
      <w:autoSpaceDN/>
      <w:snapToGrid/>
      <w:spacing w:line="240" w:lineRule="auto"/>
      <w:ind w:firstLine="420" w:firstLineChars="200"/>
    </w:pPr>
    <w:rPr>
      <w:rFonts w:ascii="Times New Roman" w:eastAsia="仿宋_GB2312"/>
      <w:snapToGrid/>
      <w:kern w:val="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1AF1D1-81E7-448E-99D2-4B452247BF19}">
  <ds:schemaRefs/>
</ds:datastoreItem>
</file>

<file path=docProps/app.xml><?xml version="1.0" encoding="utf-8"?>
<Properties xmlns="http://schemas.openxmlformats.org/officeDocument/2006/extended-properties" xmlns:vt="http://schemas.openxmlformats.org/officeDocument/2006/docPropsVTypes">
  <Template>Normal</Template>
  <Company>wyk</Company>
  <Pages>24</Pages>
  <Words>7004</Words>
  <Characters>7165</Characters>
  <Lines>58</Lines>
  <Paragraphs>16</Paragraphs>
  <TotalTime>3</TotalTime>
  <ScaleCrop>false</ScaleCrop>
  <LinksUpToDate>false</LinksUpToDate>
  <CharactersWithSpaces>7165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2018-09-05T07:38:00Z</dcterms:created>
  <dc:creator>X</dc:creator>
  <cp:lastModifiedBy>Administrator</cp:lastModifiedBy>
  <cp:lastPrinted>2022-11-04T11:20:00Z</cp:lastPrinted>
  <dcterms:modified xsi:type="dcterms:W3CDTF">2022-12-05T02:04:29Z</dcterms:modified>
  <dc:title>下行文（平行文）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04CF4C07454640EB8670ACD28628BB32</vt:lpwstr>
  </property>
</Properties>
</file>