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0000" w:sz="18" w:space="0"/>
        </w:pBdr>
        <w:ind w:firstLine="0"/>
        <w:rPr>
          <w:rFonts w:ascii="方正小标宋简体" w:hAnsi="方正小标宋简体" w:eastAsia="方正小标宋简体" w:cs="方正小标宋简体"/>
          <w:color w:val="FF0000"/>
          <w:sz w:val="84"/>
          <w:szCs w:val="84"/>
        </w:rPr>
      </w:pPr>
      <w:r>
        <w:rPr>
          <w:rFonts w:hint="eastAsia" w:ascii="方正小标宋简体" w:hAnsi="方正小标宋简体" w:eastAsia="方正小标宋简体" w:cs="方正小标宋简体"/>
          <w:color w:val="FF0000"/>
          <w:w w:val="37"/>
          <w:sz w:val="84"/>
          <w:szCs w:val="84"/>
          <w:lang w:eastAsia="zh-CN"/>
        </w:rPr>
        <w:t>赣榆区</w:t>
      </w:r>
      <w:r>
        <w:rPr>
          <w:rFonts w:hint="eastAsia" w:ascii="方正小标宋简体" w:hAnsi="方正小标宋简体" w:eastAsia="方正小标宋简体" w:cs="方正小标宋简体"/>
          <w:color w:val="FF0000"/>
          <w:w w:val="37"/>
          <w:sz w:val="84"/>
          <w:szCs w:val="84"/>
        </w:rPr>
        <w:t>政府推进政府职能转变和“放管服”改革协调小组办公室</w:t>
      </w:r>
    </w:p>
    <w:p>
      <w:pPr>
        <w:spacing w:line="560" w:lineRule="exact"/>
        <w:ind w:firstLine="0"/>
        <w:jc w:val="center"/>
        <w:rPr>
          <w:rFonts w:ascii="Times New Roman" w:hAnsi="Times New Roman" w:eastAsia="仿宋_GB2312"/>
          <w:szCs w:val="32"/>
        </w:rPr>
      </w:pPr>
    </w:p>
    <w:p>
      <w:pPr>
        <w:spacing w:line="560" w:lineRule="exact"/>
        <w:ind w:firstLine="0"/>
        <w:jc w:val="center"/>
        <w:rPr>
          <w:rFonts w:hint="eastAsia" w:ascii="Times New Roman" w:hAnsi="Times New Roman" w:eastAsia="仿宋_GB2312"/>
          <w:szCs w:val="32"/>
          <w:lang w:eastAsia="zh-CN"/>
        </w:rPr>
      </w:pPr>
    </w:p>
    <w:p>
      <w:pPr>
        <w:spacing w:line="560" w:lineRule="exact"/>
        <w:ind w:firstLine="0"/>
        <w:jc w:val="center"/>
        <w:rPr>
          <w:rFonts w:hint="eastAsia" w:ascii="Times New Roman" w:hAnsi="Times New Roman" w:eastAsia="仿宋_GB2312"/>
          <w:szCs w:val="32"/>
          <w:lang w:eastAsia="zh-CN"/>
        </w:rPr>
      </w:pPr>
    </w:p>
    <w:p>
      <w:pPr>
        <w:keepNext w:val="0"/>
        <w:keepLines w:val="0"/>
        <w:pageBreakBefore w:val="0"/>
        <w:widowControl w:val="0"/>
        <w:kinsoku/>
        <w:wordWrap/>
        <w:overflowPunct/>
        <w:topLinePunct w:val="0"/>
        <w:autoSpaceDE w:val="0"/>
        <w:autoSpaceDN w:val="0"/>
        <w:bidi w:val="0"/>
        <w:adjustRightInd/>
        <w:snapToGrid w:val="0"/>
        <w:spacing w:before="157" w:beforeLines="50" w:line="560" w:lineRule="exact"/>
        <w:ind w:firstLine="0"/>
        <w:jc w:val="center"/>
        <w:textAlignment w:val="auto"/>
        <w:rPr>
          <w:rFonts w:ascii="Times New Roman" w:hAnsi="Times New Roman" w:eastAsia="方正小标宋简体"/>
          <w:sz w:val="44"/>
          <w:szCs w:val="44"/>
        </w:rPr>
      </w:pPr>
      <w:r>
        <w:rPr>
          <w:rFonts w:hint="eastAsia" w:ascii="Times New Roman" w:hAnsi="Times New Roman" w:eastAsia="仿宋_GB2312"/>
          <w:szCs w:val="32"/>
          <w:lang w:eastAsia="zh-CN"/>
        </w:rPr>
        <w:t>赣</w:t>
      </w:r>
      <w:r>
        <w:rPr>
          <w:rFonts w:hint="eastAsia" w:ascii="Times New Roman" w:hAnsi="Times New Roman" w:eastAsia="仿宋_GB2312"/>
          <w:szCs w:val="32"/>
        </w:rPr>
        <w:t>协调</w:t>
      </w:r>
      <w:r>
        <w:rPr>
          <w:rFonts w:hint="eastAsia" w:ascii="Times New Roman" w:hAnsi="Times New Roman" w:eastAsia="仿宋_GB2312"/>
          <w:szCs w:val="32"/>
          <w:lang w:eastAsia="zh-CN"/>
        </w:rPr>
        <w:t>小组</w:t>
      </w:r>
      <w:r>
        <w:rPr>
          <w:rFonts w:ascii="Times New Roman" w:hAnsi="Times New Roman" w:eastAsia="仿宋_GB2312"/>
          <w:szCs w:val="32"/>
        </w:rPr>
        <w:t>〔20</w:t>
      </w:r>
      <w:r>
        <w:rPr>
          <w:rFonts w:hint="eastAsia" w:ascii="Times New Roman" w:hAnsi="Times New Roman" w:eastAsia="仿宋_GB2312"/>
          <w:szCs w:val="32"/>
        </w:rPr>
        <w:t>22</w:t>
      </w:r>
      <w:r>
        <w:rPr>
          <w:rFonts w:ascii="Times New Roman" w:hAnsi="Times New Roman" w:eastAsia="仿宋_GB2312"/>
          <w:szCs w:val="32"/>
        </w:rPr>
        <w:t>〕</w:t>
      </w:r>
      <w:r>
        <w:rPr>
          <w:rFonts w:hint="eastAsia" w:ascii="Times New Roman" w:hAnsi="Times New Roman" w:eastAsia="仿宋_GB2312"/>
          <w:szCs w:val="32"/>
          <w:lang w:val="en-US" w:eastAsia="zh-CN"/>
        </w:rPr>
        <w:t>4</w:t>
      </w:r>
      <w:r>
        <w:rPr>
          <w:rFonts w:ascii="Times New Roman" w:hAnsi="Times New Roman" w:eastAsia="仿宋_GB2312"/>
          <w:szCs w:val="32"/>
        </w:rPr>
        <w:t>号</w:t>
      </w:r>
    </w:p>
    <w:p>
      <w:pPr>
        <w:spacing w:line="560" w:lineRule="exact"/>
        <w:ind w:firstLine="0"/>
        <w:rPr>
          <w:rFonts w:ascii="方正小标宋简体" w:hAnsi="华文中宋" w:eastAsia="方正小标宋简体" w:cs="华文中宋"/>
          <w:sz w:val="44"/>
          <w:szCs w:val="44"/>
        </w:rPr>
      </w:pPr>
      <w:r>
        <w:rPr>
          <w:rFonts w:ascii="Times New Roman" w:hAnsi="Times New Roman" w:eastAsia="方正小标宋简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186055</wp:posOffset>
                </wp:positionV>
                <wp:extent cx="570293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702935" cy="0"/>
                        </a:xfrm>
                        <a:prstGeom prst="straightConnector1">
                          <a:avLst/>
                        </a:prstGeom>
                        <a:ln w="28575" cap="flat" cmpd="sng">
                          <a:no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95pt;margin-top:14.65pt;height:0pt;width:449.05pt;z-index:251659264;mso-width-relative:page;mso-height-relative:page;" filled="f" stroked="f" coordsize="21600,21600" o:gfxdata="UEsDBAoAAAAAAIdO4kAAAAAAAAAAAAAAAAAEAAAAZHJzL1BLAwQUAAAACACHTuJAgrwQRtoAAAAI&#10;AQAADwAAAGRycy9kb3ducmV2LnhtbE2PzU7DMBCE70i8g7VIXFDr1IW2Cdn0gEBCSEVqqcTVjbdJ&#10;SrwOsfsDT48Rh3KcndHMt/n8ZFtxoN43jhFGwwQEcelMwxXC+u1pMAPhg2ajW8eE8EUe5sXlRa4z&#10;4468pMMqVCKWsM80Qh1Cl0npy5qs9kPXEUdv63qrQ5R9JU2vj7HctlIlyURa3XBcqHVHDzWVH6u9&#10;RehebhbfuyqYz9fpbpI+bp/V+/gW8fpqlNyDCHQK5zD84kd0KCLTxu3ZeNEiDO7SmERQ6RhE9Gep&#10;UiA2fwdZ5PL/A8UPUEsDBBQAAAAIAIdO4kAbsnnm8wEAANIDAAAOAAAAZHJzL2Uyb0RvYy54bWyt&#10;U81uEzEQviPxDpbvZDdBSdsomx4aygVBJOgDuPZs1pL/5HGzyUvwAkicgBNw6p2ngfIYjJ00VOWS&#10;AxfvjL3zzXzfzMzON9awNUTU3jV8OKg5Aye90m7V8Kt3l89OOcMknBLGO2j4FpCfz58+mfVhCiPf&#10;eaMgMgJxOO1Dw7uUwrSqUHZgBQ58AEePrY9WJHLjqlJR9IRuTTWq60nV+6hC9BIQ6Xaxe+R7xHgM&#10;oG9bLWHh5Y0Fl3aoEYxIRAk7HZDPS7VtCzK9aVuExEzDiWkqJyUh+zqf1XwmpqsoQqflvgRxTAmP&#10;OFmhHSU9QC1EEuwm6n+grJbRo2/TQHpb7YgURYjFsH6kzdtOBChcSGoMB9Hx/8HK1+tlZFo1fMKZ&#10;E5Yafvfh9tf7z3ffv/38dPv7x8dsf/3CJlmqPuCUIi7cMu49DMuYeW/aaPOXGLFNkXd7kBc2iUm6&#10;HJ/Uo7PnY87k/Vv1NzBETC/BW5aNhmOKQq+6dOGdoyb6OCzyivUrTJSaAu8DclbjWN/w0en4JKML&#10;msqWpoFMG4gZulUJdv5SG1M6noMXAju2FjQY6I1Wu1HoQKgXTrG0DSSFow3gGdqC4swALUy2CkQS&#10;2hzzJ5VqXC4Syjju689K7rTL1rVX2yJplT1qdWG4H8s8Sw99sh+u4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rwQRtoAAAAIAQAADwAAAAAAAAABACAAAAAiAAAAZHJzL2Rvd25yZXYueG1sUEsB&#10;AhQAFAAAAAgAh07iQBuyeebzAQAA0gMAAA4AAAAAAAAAAQAgAAAAKQEAAGRycy9lMm9Eb2MueG1s&#10;UEsFBgAAAAAGAAYAWQEAAI4FAAAAAA==&#10;">
                <v:fill on="f" focussize="0,0"/>
                <v:stroke on="f" weight="2.25pt"/>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default" w:ascii="Times New Roman" w:hAnsi="Times New Roman" w:eastAsia="方正小标宋简体" w:cs="Times New Roman"/>
          <w:snapToGrid/>
          <w:kern w:val="2"/>
          <w:sz w:val="44"/>
          <w:szCs w:val="44"/>
          <w:lang w:eastAsia="zh-CN"/>
        </w:rPr>
      </w:pPr>
      <w:r>
        <w:rPr>
          <w:rFonts w:hint="eastAsia" w:ascii="Times New Roman" w:hAnsi="Times New Roman" w:eastAsia="方正小标宋简体" w:cs="Times New Roman"/>
          <w:snapToGrid/>
          <w:kern w:val="2"/>
          <w:sz w:val="44"/>
          <w:szCs w:val="44"/>
          <w:lang w:eastAsia="zh-CN"/>
        </w:rPr>
        <w:t>关于印发《赣榆区市场主体住</w:t>
      </w:r>
      <w:bookmarkStart w:id="0" w:name="_GoBack"/>
      <w:bookmarkEnd w:id="0"/>
      <w:r>
        <w:rPr>
          <w:rFonts w:hint="eastAsia" w:ascii="Times New Roman" w:hAnsi="Times New Roman" w:eastAsia="方正小标宋简体" w:cs="Times New Roman"/>
          <w:snapToGrid/>
          <w:kern w:val="2"/>
          <w:sz w:val="44"/>
          <w:szCs w:val="44"/>
          <w:lang w:eastAsia="zh-CN"/>
        </w:rPr>
        <w:t>所（经营场所）登记负面清单（第一批）》的通知</w:t>
      </w:r>
    </w:p>
    <w:p>
      <w:pPr>
        <w:keepNext w:val="0"/>
        <w:keepLines w:val="0"/>
        <w:pageBreakBefore w:val="0"/>
        <w:widowControl w:val="0"/>
        <w:kinsoku/>
        <w:overflowPunct/>
        <w:topLinePunct w:val="0"/>
        <w:bidi w:val="0"/>
        <w:adjustRightInd/>
        <w:spacing w:line="470" w:lineRule="exact"/>
        <w:ind w:firstLine="0"/>
        <w:jc w:val="left"/>
        <w:textAlignment w:val="auto"/>
        <w:rPr>
          <w:rFonts w:ascii="仿宋" w:hAnsi="仿宋" w:eastAsia="仿宋" w:cs="方正仿宋_GBK"/>
          <w:szCs w:val="32"/>
        </w:rPr>
      </w:pPr>
    </w:p>
    <w:p>
      <w:pPr>
        <w:keepNext w:val="0"/>
        <w:keepLines w:val="0"/>
        <w:pageBreakBefore w:val="0"/>
        <w:widowControl w:val="0"/>
        <w:kinsoku/>
        <w:wordWrap/>
        <w:overflowPunct/>
        <w:topLinePunct w:val="0"/>
        <w:autoSpaceDE w:val="0"/>
        <w:autoSpaceDN w:val="0"/>
        <w:bidi w:val="0"/>
        <w:adjustRightInd/>
        <w:snapToGrid w:val="0"/>
        <w:spacing w:line="520" w:lineRule="exact"/>
        <w:ind w:firstLine="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各镇（园区）、区各相关单位:</w:t>
      </w:r>
    </w:p>
    <w:p>
      <w:pPr>
        <w:keepNext w:val="0"/>
        <w:keepLines w:val="0"/>
        <w:pageBreakBefore w:val="0"/>
        <w:widowControl w:val="0"/>
        <w:kinsoku/>
        <w:wordWrap/>
        <w:overflowPunct/>
        <w:topLinePunct w:val="0"/>
        <w:autoSpaceDE w:val="0"/>
        <w:autoSpaceDN w:val="0"/>
        <w:bidi w:val="0"/>
        <w:adjustRightInd/>
        <w:snapToGrid w:val="0"/>
        <w:spacing w:line="52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为有效贯彻落实全国稳住经济大盘电视电话会议精神，抢抓时间窗口激发市场主体活力，</w:t>
      </w:r>
      <w:r>
        <w:rPr>
          <w:rFonts w:hint="eastAsia" w:ascii="仿宋_GB2312" w:hAnsi="仿宋_GB2312" w:eastAsia="仿宋_GB2312" w:cs="仿宋_GB2312"/>
          <w:szCs w:val="32"/>
          <w:lang w:eastAsia="zh-CN"/>
        </w:rPr>
        <w:t>落实</w:t>
      </w:r>
      <w:r>
        <w:rPr>
          <w:rFonts w:hint="eastAsia" w:ascii="仿宋_GB2312" w:hAnsi="仿宋_GB2312" w:eastAsia="仿宋_GB2312" w:cs="仿宋_GB2312"/>
          <w:szCs w:val="32"/>
        </w:rPr>
        <w:t>《连云港市市场主体住所（经营场所）登记负面清单（第一批）》的通知</w:t>
      </w:r>
      <w:r>
        <w:rPr>
          <w:rFonts w:hint="eastAsia" w:ascii="仿宋_GB2312" w:hAnsi="仿宋_GB2312" w:eastAsia="仿宋_GB2312" w:cs="仿宋_GB2312"/>
          <w:szCs w:val="32"/>
          <w:lang w:eastAsia="zh-CN"/>
        </w:rPr>
        <w:t>，结合我区发展实际，</w:t>
      </w:r>
      <w:r>
        <w:rPr>
          <w:rFonts w:hint="eastAsia" w:ascii="仿宋_GB2312" w:hAnsi="仿宋_GB2312" w:eastAsia="仿宋_GB2312" w:cs="仿宋_GB2312"/>
          <w:szCs w:val="32"/>
        </w:rPr>
        <w:t>在我</w:t>
      </w:r>
      <w:r>
        <w:rPr>
          <w:rFonts w:hint="eastAsia" w:ascii="仿宋_GB2312" w:hAnsi="仿宋_GB2312" w:eastAsia="仿宋_GB2312" w:cs="仿宋_GB2312"/>
          <w:szCs w:val="32"/>
          <w:lang w:eastAsia="zh-CN"/>
        </w:rPr>
        <w:t>区</w:t>
      </w:r>
      <w:r>
        <w:rPr>
          <w:rFonts w:hint="eastAsia" w:ascii="仿宋_GB2312" w:hAnsi="仿宋_GB2312" w:eastAsia="仿宋_GB2312" w:cs="仿宋_GB2312"/>
          <w:szCs w:val="32"/>
        </w:rPr>
        <w:t>进一步放宽对市场主体住所和经营场所的登记限制，以不涉及生态环境保护、人民生命财产安全和公共安全为原则，对住所（经营场所）限制条件实行负面清单管理，清单之外各类市场主体依法平等进入。现将《</w:t>
      </w:r>
      <w:r>
        <w:rPr>
          <w:rFonts w:hint="eastAsia" w:ascii="仿宋_GB2312" w:hAnsi="仿宋_GB2312" w:eastAsia="仿宋_GB2312" w:cs="仿宋_GB2312"/>
          <w:szCs w:val="32"/>
          <w:lang w:eastAsia="zh-CN"/>
        </w:rPr>
        <w:t>赣榆区</w:t>
      </w:r>
      <w:r>
        <w:rPr>
          <w:rFonts w:hint="eastAsia" w:ascii="仿宋_GB2312" w:hAnsi="仿宋_GB2312" w:eastAsia="仿宋_GB2312" w:cs="仿宋_GB2312"/>
          <w:szCs w:val="32"/>
        </w:rPr>
        <w:t>市场主体住所（经营场所）登记负面清单（第一批）》印发给你们，请认真遵照执行。</w:t>
      </w:r>
    </w:p>
    <w:p>
      <w:pPr>
        <w:keepNext w:val="0"/>
        <w:keepLines w:val="0"/>
        <w:pageBreakBefore w:val="0"/>
        <w:widowControl w:val="0"/>
        <w:kinsoku/>
        <w:overflowPunct/>
        <w:topLinePunct w:val="0"/>
        <w:bidi w:val="0"/>
        <w:adjustRightInd/>
        <w:spacing w:line="470" w:lineRule="exact"/>
        <w:ind w:firstLine="640" w:firstLineChars="200"/>
        <w:jc w:val="left"/>
        <w:textAlignment w:val="auto"/>
        <w:rPr>
          <w:rFonts w:ascii="Times New Roman" w:hAnsi="Times New Roman" w:eastAsia="仿宋"/>
          <w:szCs w:val="32"/>
        </w:rPr>
      </w:pPr>
    </w:p>
    <w:p>
      <w:pPr>
        <w:keepNext w:val="0"/>
        <w:keepLines w:val="0"/>
        <w:pageBreakBefore w:val="0"/>
        <w:widowControl w:val="0"/>
        <w:kinsoku/>
        <w:wordWrap w:val="0"/>
        <w:overflowPunct/>
        <w:topLinePunct w:val="0"/>
        <w:autoSpaceDE/>
        <w:autoSpaceDN/>
        <w:bidi w:val="0"/>
        <w:adjustRightInd/>
        <w:snapToGrid/>
        <w:spacing w:line="470" w:lineRule="exact"/>
        <w:ind w:firstLine="0" w:firstLineChars="0"/>
        <w:jc w:val="right"/>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连云港市赣榆区政府推进政府职能转变和 </w:t>
      </w:r>
    </w:p>
    <w:p>
      <w:pPr>
        <w:keepNext w:val="0"/>
        <w:keepLines w:val="0"/>
        <w:pageBreakBefore w:val="0"/>
        <w:widowControl w:val="0"/>
        <w:kinsoku/>
        <w:wordWrap w:val="0"/>
        <w:overflowPunct/>
        <w:topLinePunct w:val="0"/>
        <w:autoSpaceDE/>
        <w:autoSpaceDN/>
        <w:bidi w:val="0"/>
        <w:adjustRightInd/>
        <w:snapToGrid/>
        <w:spacing w:line="470" w:lineRule="exact"/>
        <w:ind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“放管服”改革协调小组办公室  </w:t>
      </w:r>
      <w:r>
        <w:rPr>
          <w:rFonts w:hint="default" w:ascii="Times New Roman" w:hAnsi="Times New Roman" w:eastAsia="仿宋_GB2312" w:cs="Times New Roman"/>
          <w:spacing w:val="-34"/>
          <w:w w:val="100"/>
          <w:sz w:val="32"/>
          <w:szCs w:val="32"/>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47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日</w:t>
      </w:r>
    </w:p>
    <w:p>
      <w:pPr>
        <w:spacing w:line="560" w:lineRule="exact"/>
        <w:ind w:left="0" w:leftChars="0" w:firstLine="0" w:firstLineChars="0"/>
        <w:jc w:val="center"/>
        <w:rPr>
          <w:rFonts w:ascii="方正小标宋_GBK" w:hAnsi="黑体" w:eastAsia="方正小标宋_GBK" w:cs="黑体"/>
          <w:sz w:val="44"/>
          <w:szCs w:val="44"/>
        </w:rPr>
      </w:pPr>
      <w:r>
        <w:rPr>
          <w:rFonts w:hint="eastAsia" w:ascii="方正小标宋_GBK" w:hAnsi="黑体" w:eastAsia="方正小标宋_GBK" w:cs="黑体"/>
          <w:sz w:val="44"/>
          <w:szCs w:val="44"/>
          <w:lang w:eastAsia="zh-CN"/>
        </w:rPr>
        <w:t>赣榆区</w:t>
      </w:r>
      <w:r>
        <w:rPr>
          <w:rFonts w:hint="eastAsia" w:ascii="方正小标宋_GBK" w:hAnsi="黑体" w:eastAsia="方正小标宋_GBK" w:cs="黑体"/>
          <w:sz w:val="44"/>
          <w:szCs w:val="44"/>
        </w:rPr>
        <w:t>市场主体住所（经营场所）登记</w:t>
      </w:r>
    </w:p>
    <w:p>
      <w:pPr>
        <w:spacing w:line="560" w:lineRule="exact"/>
        <w:ind w:left="0" w:leftChars="0" w:firstLine="0" w:firstLineChars="0"/>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负面清单（第一批）</w:t>
      </w:r>
    </w:p>
    <w:p/>
    <w:p>
      <w:pPr>
        <w:adjustRightInd w:val="0"/>
        <w:spacing w:line="560" w:lineRule="exact"/>
        <w:ind w:firstLine="640" w:firstLineChars="200"/>
        <w:rPr>
          <w:rFonts w:ascii="Times New Roman" w:hAnsi="Times New Roman" w:eastAsia="仿宋"/>
          <w:color w:val="auto"/>
          <w:szCs w:val="32"/>
        </w:rPr>
      </w:pPr>
      <w:r>
        <w:rPr>
          <w:rFonts w:hint="eastAsia" w:ascii="Times New Roman" w:hAnsi="Times New Roman" w:eastAsia="仿宋"/>
          <w:color w:val="auto"/>
          <w:szCs w:val="32"/>
        </w:rPr>
        <w:t>为认真贯彻落实全国稳住经济大盘电视电话会议精神，抢抓时间窗口激发市场主体活力，</w:t>
      </w:r>
      <w:r>
        <w:rPr>
          <w:rFonts w:hint="eastAsia" w:ascii="Times New Roman" w:hAnsi="Times New Roman" w:eastAsia="仿宋"/>
          <w:color w:val="auto"/>
          <w:szCs w:val="32"/>
          <w:lang w:eastAsia="zh-CN"/>
        </w:rPr>
        <w:t>落实</w:t>
      </w:r>
      <w:r>
        <w:rPr>
          <w:rFonts w:hint="eastAsia" w:ascii="Times New Roman" w:hAnsi="Times New Roman" w:eastAsia="仿宋"/>
          <w:color w:val="auto"/>
          <w:szCs w:val="32"/>
        </w:rPr>
        <w:t>《连云港市市场主体住所（经营场所）登记负面清单（第一批）》的通知</w:t>
      </w:r>
      <w:r>
        <w:rPr>
          <w:rFonts w:hint="eastAsia" w:ascii="Times New Roman" w:hAnsi="Times New Roman" w:eastAsia="仿宋"/>
          <w:color w:val="auto"/>
          <w:szCs w:val="32"/>
          <w:lang w:eastAsia="zh-CN"/>
        </w:rPr>
        <w:t>，结合我区发展实际，</w:t>
      </w:r>
      <w:r>
        <w:rPr>
          <w:rFonts w:hint="eastAsia" w:ascii="Times New Roman" w:hAnsi="Times New Roman" w:eastAsia="仿宋"/>
          <w:color w:val="auto"/>
          <w:szCs w:val="32"/>
        </w:rPr>
        <w:t>在我</w:t>
      </w:r>
      <w:r>
        <w:rPr>
          <w:rFonts w:hint="eastAsia" w:ascii="Times New Roman" w:hAnsi="Times New Roman" w:eastAsia="仿宋"/>
          <w:color w:val="auto"/>
          <w:szCs w:val="32"/>
          <w:lang w:eastAsia="zh-CN"/>
        </w:rPr>
        <w:t>区</w:t>
      </w:r>
      <w:r>
        <w:rPr>
          <w:rFonts w:hint="eastAsia" w:ascii="Times New Roman" w:hAnsi="Times New Roman" w:eastAsia="仿宋"/>
          <w:color w:val="auto"/>
          <w:szCs w:val="32"/>
        </w:rPr>
        <w:t>进一步放宽对市场主体住所和经营场所的登记限制，以不涉及生态环境保护、人民生命财产安全和公共安全为原则，对住所（经营场所）限制条件实行负面清单管理，形成《</w:t>
      </w:r>
      <w:r>
        <w:rPr>
          <w:rFonts w:hint="eastAsia" w:ascii="Times New Roman" w:hAnsi="Times New Roman" w:eastAsia="仿宋"/>
          <w:color w:val="auto"/>
          <w:szCs w:val="32"/>
          <w:lang w:eastAsia="zh-CN"/>
        </w:rPr>
        <w:t>赣榆区</w:t>
      </w:r>
      <w:r>
        <w:rPr>
          <w:rFonts w:hint="eastAsia" w:ascii="Times New Roman" w:hAnsi="Times New Roman" w:eastAsia="仿宋"/>
          <w:color w:val="auto"/>
          <w:szCs w:val="32"/>
        </w:rPr>
        <w:t>市场主体住所（经营场所）登记负面清单（第一批）》，清单之外各类市场主体依法平等进入。</w:t>
      </w:r>
    </w:p>
    <w:p>
      <w:pPr>
        <w:pStyle w:val="2"/>
        <w:ind w:left="640"/>
      </w:pPr>
    </w:p>
    <w:p>
      <w:pPr>
        <w:pStyle w:val="2"/>
        <w:ind w:left="640"/>
      </w:pPr>
    </w:p>
    <w:tbl>
      <w:tblPr>
        <w:tblStyle w:val="4"/>
        <w:tblW w:w="4997" w:type="pct"/>
        <w:tblInd w:w="0" w:type="dxa"/>
        <w:tblLayout w:type="autofit"/>
        <w:tblCellMar>
          <w:top w:w="0" w:type="dxa"/>
          <w:left w:w="108" w:type="dxa"/>
          <w:bottom w:w="0" w:type="dxa"/>
          <w:right w:w="108" w:type="dxa"/>
        </w:tblCellMar>
      </w:tblPr>
      <w:tblGrid>
        <w:gridCol w:w="578"/>
        <w:gridCol w:w="1310"/>
        <w:gridCol w:w="4471"/>
        <w:gridCol w:w="2697"/>
      </w:tblGrid>
      <w:tr>
        <w:tblPrEx>
          <w:tblCellMar>
            <w:top w:w="0" w:type="dxa"/>
            <w:left w:w="108" w:type="dxa"/>
            <w:bottom w:w="0" w:type="dxa"/>
            <w:right w:w="108" w:type="dxa"/>
          </w:tblCellMar>
        </w:tblPrEx>
        <w:trPr>
          <w:trHeight w:val="375" w:hRule="atLeast"/>
          <w:tblHeader/>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center"/>
              <w:rPr>
                <w:rFonts w:ascii="黑体" w:hAnsi="黑体" w:eastAsia="黑体" w:cs="黑体"/>
                <w:color w:val="333333"/>
                <w:sz w:val="28"/>
                <w:szCs w:val="24"/>
              </w:rPr>
            </w:pPr>
            <w:r>
              <w:rPr>
                <w:rFonts w:hint="eastAsia" w:ascii="黑体" w:hAnsi="黑体" w:eastAsia="黑体" w:cs="黑体"/>
                <w:color w:val="333333"/>
                <w:sz w:val="28"/>
              </w:rPr>
              <w:t>序号</w:t>
            </w:r>
          </w:p>
        </w:tc>
        <w:tc>
          <w:tcPr>
            <w:tcW w:w="723" w:type="pct"/>
            <w:tcBorders>
              <w:top w:val="single" w:color="auto" w:sz="4" w:space="0"/>
              <w:left w:val="nil"/>
              <w:bottom w:val="single" w:color="auto" w:sz="4" w:space="0"/>
              <w:right w:val="single" w:color="auto" w:sz="4" w:space="0"/>
            </w:tcBorders>
            <w:shd w:val="clear" w:color="000000" w:fill="FFFFFF"/>
            <w:vAlign w:val="center"/>
          </w:tcPr>
          <w:p>
            <w:pPr>
              <w:spacing w:line="400" w:lineRule="exact"/>
              <w:ind w:firstLine="0"/>
              <w:jc w:val="center"/>
              <w:rPr>
                <w:rFonts w:ascii="黑体" w:hAnsi="黑体" w:eastAsia="黑体" w:cs="黑体"/>
                <w:color w:val="333333"/>
                <w:sz w:val="28"/>
              </w:rPr>
            </w:pPr>
            <w:r>
              <w:rPr>
                <w:rFonts w:hint="eastAsia" w:ascii="黑体" w:hAnsi="黑体" w:eastAsia="黑体" w:cs="黑体"/>
                <w:color w:val="333333"/>
                <w:sz w:val="28"/>
              </w:rPr>
              <w:t>行业或</w:t>
            </w:r>
          </w:p>
          <w:p>
            <w:pPr>
              <w:spacing w:line="400" w:lineRule="exact"/>
              <w:ind w:firstLine="0"/>
              <w:jc w:val="center"/>
              <w:rPr>
                <w:rFonts w:ascii="黑体" w:hAnsi="黑体" w:eastAsia="黑体" w:cs="黑体"/>
                <w:color w:val="333333"/>
                <w:sz w:val="28"/>
                <w:szCs w:val="24"/>
              </w:rPr>
            </w:pPr>
            <w:r>
              <w:rPr>
                <w:rFonts w:hint="eastAsia" w:ascii="黑体" w:hAnsi="黑体" w:eastAsia="黑体" w:cs="黑体"/>
                <w:color w:val="333333"/>
                <w:sz w:val="28"/>
              </w:rPr>
              <w:t>区域</w:t>
            </w:r>
          </w:p>
        </w:tc>
        <w:tc>
          <w:tcPr>
            <w:tcW w:w="2468" w:type="pct"/>
            <w:tcBorders>
              <w:top w:val="single" w:color="auto" w:sz="4" w:space="0"/>
              <w:left w:val="nil"/>
              <w:bottom w:val="single" w:color="auto" w:sz="4" w:space="0"/>
              <w:right w:val="single" w:color="auto" w:sz="4" w:space="0"/>
            </w:tcBorders>
            <w:shd w:val="clear" w:color="000000" w:fill="FFFFFF"/>
            <w:vAlign w:val="center"/>
          </w:tcPr>
          <w:p>
            <w:pPr>
              <w:spacing w:line="400" w:lineRule="exact"/>
              <w:ind w:firstLine="0"/>
              <w:jc w:val="center"/>
              <w:rPr>
                <w:rFonts w:ascii="黑体" w:hAnsi="黑体" w:eastAsia="黑体" w:cs="黑体"/>
                <w:color w:val="333333"/>
                <w:sz w:val="28"/>
                <w:szCs w:val="24"/>
              </w:rPr>
            </w:pPr>
            <w:r>
              <w:rPr>
                <w:rFonts w:hint="eastAsia" w:ascii="黑体" w:hAnsi="黑体" w:eastAsia="黑体" w:cs="黑体"/>
                <w:color w:val="333333"/>
                <w:sz w:val="28"/>
              </w:rPr>
              <w:t>禁止类限制类内容</w:t>
            </w:r>
          </w:p>
        </w:tc>
        <w:tc>
          <w:tcPr>
            <w:tcW w:w="1489" w:type="pct"/>
            <w:tcBorders>
              <w:top w:val="single" w:color="auto" w:sz="4" w:space="0"/>
              <w:left w:val="nil"/>
              <w:bottom w:val="single" w:color="auto" w:sz="4" w:space="0"/>
              <w:right w:val="single" w:color="auto" w:sz="4" w:space="0"/>
            </w:tcBorders>
            <w:shd w:val="clear" w:color="000000" w:fill="FFFFFF"/>
            <w:vAlign w:val="center"/>
          </w:tcPr>
          <w:p>
            <w:pPr>
              <w:spacing w:line="400" w:lineRule="exact"/>
              <w:ind w:firstLine="0"/>
              <w:jc w:val="center"/>
              <w:rPr>
                <w:rFonts w:ascii="黑体" w:hAnsi="黑体" w:eastAsia="黑体" w:cs="黑体"/>
                <w:color w:val="333333"/>
                <w:sz w:val="28"/>
                <w:szCs w:val="24"/>
              </w:rPr>
            </w:pPr>
            <w:r>
              <w:rPr>
                <w:rFonts w:hint="eastAsia" w:ascii="黑体" w:hAnsi="黑体" w:eastAsia="黑体" w:cs="黑体"/>
                <w:color w:val="333333"/>
                <w:sz w:val="28"/>
              </w:rPr>
              <w:t>依据</w:t>
            </w:r>
          </w:p>
        </w:tc>
      </w:tr>
      <w:tr>
        <w:tblPrEx>
          <w:tblCellMar>
            <w:top w:w="0" w:type="dxa"/>
            <w:left w:w="108" w:type="dxa"/>
            <w:bottom w:w="0" w:type="dxa"/>
            <w:right w:w="108" w:type="dxa"/>
          </w:tblCellMar>
        </w:tblPrEx>
        <w:trPr>
          <w:trHeight w:val="90"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1</w:t>
            </w:r>
          </w:p>
        </w:tc>
        <w:tc>
          <w:tcPr>
            <w:tcW w:w="723" w:type="pct"/>
            <w:tcBorders>
              <w:top w:val="nil"/>
              <w:left w:val="nil"/>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特定</w:t>
            </w:r>
          </w:p>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区域</w:t>
            </w:r>
          </w:p>
        </w:tc>
        <w:tc>
          <w:tcPr>
            <w:tcW w:w="2468" w:type="pct"/>
            <w:tcBorders>
              <w:top w:val="nil"/>
              <w:left w:val="nil"/>
              <w:bottom w:val="single" w:color="auto" w:sz="4" w:space="0"/>
              <w:right w:val="single" w:color="auto" w:sz="4" w:space="0"/>
            </w:tcBorders>
            <w:shd w:val="clear" w:color="000000" w:fill="FFFFFF"/>
            <w:vAlign w:val="center"/>
          </w:tcPr>
          <w:p>
            <w:pPr>
              <w:spacing w:line="360" w:lineRule="auto"/>
              <w:ind w:firstLine="0"/>
              <w:jc w:val="left"/>
              <w:rPr>
                <w:rFonts w:ascii="Times New Roman" w:hAnsi="Times New Roman" w:eastAsia="仿宋"/>
                <w:sz w:val="28"/>
                <w:szCs w:val="28"/>
              </w:rPr>
            </w:pPr>
            <w:r>
              <w:rPr>
                <w:rFonts w:ascii="Times New Roman" w:hAnsi="Times New Roman" w:eastAsia="仿宋"/>
                <w:sz w:val="28"/>
                <w:szCs w:val="28"/>
              </w:rPr>
              <w:t>对于在城市居民住宅区内从事餐饮、娱乐、洗浴、五金加工等容易产生环境污染的公共服务行业，从事易燃易爆物品销售、储存等涉及人民生命财产安全的行业，以及法律、法规禁止住宅经营的行业，不得登记为经营性住所。</w:t>
            </w:r>
          </w:p>
        </w:tc>
        <w:tc>
          <w:tcPr>
            <w:tcW w:w="1489" w:type="pct"/>
            <w:tcBorders>
              <w:top w:val="nil"/>
              <w:left w:val="nil"/>
              <w:bottom w:val="single" w:color="auto" w:sz="4" w:space="0"/>
              <w:right w:val="single" w:color="auto" w:sz="4" w:space="0"/>
            </w:tcBorders>
            <w:shd w:val="clear" w:color="000000" w:fill="FFFFFF"/>
            <w:vAlign w:val="center"/>
          </w:tcPr>
          <w:p>
            <w:pPr>
              <w:spacing w:line="360" w:lineRule="exact"/>
              <w:ind w:firstLine="0"/>
              <w:jc w:val="left"/>
              <w:rPr>
                <w:rFonts w:ascii="Times New Roman" w:hAnsi="Times New Roman" w:eastAsia="仿宋"/>
                <w:sz w:val="28"/>
                <w:szCs w:val="28"/>
              </w:rPr>
            </w:pPr>
            <w:r>
              <w:rPr>
                <w:rFonts w:ascii="Times New Roman" w:hAnsi="Times New Roman" w:eastAsia="仿宋"/>
                <w:sz w:val="28"/>
                <w:szCs w:val="28"/>
              </w:rPr>
              <w:t>《江苏省人民政府关于进一步放宽市场主体住所（经营场所）登记条件的指导意见》</w:t>
            </w:r>
          </w:p>
          <w:p>
            <w:pPr>
              <w:spacing w:line="360" w:lineRule="exact"/>
              <w:ind w:firstLine="0"/>
              <w:jc w:val="left"/>
              <w:rPr>
                <w:rFonts w:ascii="Times New Roman" w:hAnsi="Times New Roman" w:eastAsia="仿宋"/>
                <w:sz w:val="28"/>
                <w:szCs w:val="28"/>
              </w:rPr>
            </w:pPr>
            <w:r>
              <w:rPr>
                <w:rFonts w:ascii="Times New Roman" w:hAnsi="Times New Roman" w:eastAsia="仿宋"/>
                <w:sz w:val="28"/>
                <w:szCs w:val="28"/>
              </w:rPr>
              <w:t>《连云港市市场主体住所（经营场所）登记管理办法》（第九条）</w:t>
            </w:r>
          </w:p>
        </w:tc>
      </w:tr>
      <w:tr>
        <w:tblPrEx>
          <w:tblCellMar>
            <w:top w:w="0" w:type="dxa"/>
            <w:left w:w="108" w:type="dxa"/>
            <w:bottom w:w="0" w:type="dxa"/>
            <w:right w:w="108" w:type="dxa"/>
          </w:tblCellMar>
        </w:tblPrEx>
        <w:trPr>
          <w:trHeight w:val="2921"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2</w:t>
            </w:r>
          </w:p>
        </w:tc>
        <w:tc>
          <w:tcPr>
            <w:tcW w:w="723" w:type="pct"/>
            <w:tcBorders>
              <w:top w:val="nil"/>
              <w:left w:val="nil"/>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特定</w:t>
            </w:r>
          </w:p>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区域</w:t>
            </w:r>
          </w:p>
        </w:tc>
        <w:tc>
          <w:tcPr>
            <w:tcW w:w="2468" w:type="pct"/>
            <w:tcBorders>
              <w:top w:val="nil"/>
              <w:left w:val="nil"/>
              <w:bottom w:val="single" w:color="auto" w:sz="4" w:space="0"/>
              <w:right w:val="single" w:color="auto" w:sz="4" w:space="0"/>
            </w:tcBorders>
            <w:shd w:val="clear" w:color="000000" w:fill="FFFFFF"/>
            <w:vAlign w:val="center"/>
          </w:tcPr>
          <w:p>
            <w:pPr>
              <w:spacing w:line="360" w:lineRule="exact"/>
              <w:ind w:firstLine="0"/>
              <w:jc w:val="left"/>
              <w:rPr>
                <w:rFonts w:ascii="Times New Roman" w:hAnsi="Times New Roman" w:eastAsia="仿宋"/>
                <w:sz w:val="28"/>
                <w:szCs w:val="28"/>
              </w:rPr>
            </w:pPr>
            <w:r>
              <w:rPr>
                <w:rFonts w:ascii="Times New Roman" w:hAnsi="Times New Roman" w:eastAsia="仿宋"/>
                <w:sz w:val="28"/>
                <w:szCs w:val="28"/>
              </w:rPr>
              <w:t>严禁在历史建筑、公园等公共资源中以自建、租赁、承包、转让、出借、抵押、买断、合资、合作等形式设立私人会所。</w:t>
            </w:r>
          </w:p>
        </w:tc>
        <w:tc>
          <w:tcPr>
            <w:tcW w:w="1489" w:type="pct"/>
            <w:tcBorders>
              <w:top w:val="nil"/>
              <w:left w:val="nil"/>
              <w:bottom w:val="single" w:color="auto" w:sz="4" w:space="0"/>
              <w:right w:val="single" w:color="auto" w:sz="4" w:space="0"/>
            </w:tcBorders>
            <w:shd w:val="clear" w:color="000000" w:fill="FFFFFF"/>
            <w:vAlign w:val="center"/>
          </w:tcPr>
          <w:p>
            <w:pPr>
              <w:spacing w:line="360" w:lineRule="exact"/>
              <w:ind w:firstLine="0"/>
              <w:jc w:val="left"/>
              <w:rPr>
                <w:rFonts w:ascii="Times New Roman" w:hAnsi="Times New Roman" w:eastAsia="仿宋"/>
                <w:sz w:val="28"/>
                <w:szCs w:val="28"/>
              </w:rPr>
            </w:pPr>
            <w:r>
              <w:rPr>
                <w:rFonts w:ascii="Times New Roman" w:hAnsi="Times New Roman" w:eastAsia="仿宋"/>
                <w:sz w:val="28"/>
                <w:szCs w:val="28"/>
              </w:rPr>
              <w:t>《中共中央办公厅 国务院办公厅转发住房城乡建设部等部门〈关于严禁在历史建筑、公园等公共资源中设立私人会所的暂行规定〉的通知》（第三条）</w:t>
            </w:r>
          </w:p>
        </w:tc>
      </w:tr>
      <w:tr>
        <w:tblPrEx>
          <w:tblCellMar>
            <w:top w:w="0" w:type="dxa"/>
            <w:left w:w="108" w:type="dxa"/>
            <w:bottom w:w="0" w:type="dxa"/>
            <w:right w:w="108" w:type="dxa"/>
          </w:tblCellMar>
        </w:tblPrEx>
        <w:trPr>
          <w:trHeight w:val="2553"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3</w:t>
            </w:r>
          </w:p>
        </w:tc>
        <w:tc>
          <w:tcPr>
            <w:tcW w:w="723" w:type="pct"/>
            <w:tcBorders>
              <w:top w:val="nil"/>
              <w:left w:val="nil"/>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特定</w:t>
            </w:r>
          </w:p>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区域</w:t>
            </w:r>
          </w:p>
        </w:tc>
        <w:tc>
          <w:tcPr>
            <w:tcW w:w="2468" w:type="pct"/>
            <w:tcBorders>
              <w:top w:val="nil"/>
              <w:left w:val="nil"/>
              <w:bottom w:val="single" w:color="auto" w:sz="4" w:space="0"/>
              <w:right w:val="single" w:color="auto" w:sz="4" w:space="0"/>
            </w:tcBorders>
            <w:shd w:val="clear" w:color="000000" w:fill="FFFFFF"/>
            <w:vAlign w:val="center"/>
          </w:tcPr>
          <w:p>
            <w:pPr>
              <w:spacing w:line="360" w:lineRule="exact"/>
              <w:ind w:firstLine="0"/>
              <w:jc w:val="left"/>
              <w:rPr>
                <w:rFonts w:ascii="Times New Roman" w:hAnsi="Times New Roman" w:eastAsia="仿宋"/>
                <w:sz w:val="28"/>
                <w:szCs w:val="28"/>
              </w:rPr>
            </w:pPr>
            <w:r>
              <w:rPr>
                <w:rFonts w:ascii="Times New Roman" w:hAnsi="Times New Roman" w:eastAsia="仿宋"/>
                <w:sz w:val="28"/>
                <w:szCs w:val="28"/>
              </w:rPr>
              <w:t>公共建筑和共用设施、物业服务用房不得擅自改变用途</w:t>
            </w:r>
          </w:p>
        </w:tc>
        <w:tc>
          <w:tcPr>
            <w:tcW w:w="1489" w:type="pct"/>
            <w:tcBorders>
              <w:top w:val="nil"/>
              <w:left w:val="nil"/>
              <w:bottom w:val="single" w:color="auto" w:sz="4" w:space="0"/>
              <w:right w:val="single" w:color="auto" w:sz="4" w:space="0"/>
            </w:tcBorders>
            <w:shd w:val="clear" w:color="000000" w:fill="FFFFFF"/>
            <w:vAlign w:val="center"/>
          </w:tcPr>
          <w:p>
            <w:pPr>
              <w:spacing w:line="360" w:lineRule="exact"/>
              <w:ind w:firstLine="0"/>
              <w:jc w:val="left"/>
              <w:rPr>
                <w:rFonts w:ascii="Times New Roman" w:hAnsi="Times New Roman" w:eastAsia="仿宋"/>
                <w:sz w:val="28"/>
                <w:szCs w:val="28"/>
              </w:rPr>
            </w:pPr>
            <w:r>
              <w:rPr>
                <w:rFonts w:ascii="Times New Roman" w:hAnsi="Times New Roman" w:eastAsia="仿宋"/>
                <w:sz w:val="28"/>
                <w:szCs w:val="28"/>
              </w:rPr>
              <w:t>《民法典》第二百七十四条</w:t>
            </w:r>
          </w:p>
          <w:p>
            <w:pPr>
              <w:spacing w:line="360" w:lineRule="exact"/>
              <w:ind w:firstLine="0"/>
              <w:jc w:val="left"/>
              <w:rPr>
                <w:rFonts w:ascii="Times New Roman" w:hAnsi="Times New Roman" w:eastAsia="仿宋"/>
                <w:sz w:val="28"/>
                <w:szCs w:val="28"/>
              </w:rPr>
            </w:pPr>
            <w:r>
              <w:rPr>
                <w:rFonts w:ascii="Times New Roman" w:hAnsi="Times New Roman" w:eastAsia="仿宋"/>
                <w:sz w:val="28"/>
                <w:szCs w:val="28"/>
              </w:rPr>
              <w:t>《物业管理条例》第三十七条</w:t>
            </w:r>
          </w:p>
          <w:p>
            <w:pPr>
              <w:spacing w:line="360" w:lineRule="exact"/>
              <w:ind w:firstLine="0"/>
              <w:jc w:val="left"/>
              <w:rPr>
                <w:rFonts w:ascii="Times New Roman" w:hAnsi="Times New Roman" w:eastAsia="仿宋"/>
                <w:sz w:val="28"/>
                <w:szCs w:val="28"/>
              </w:rPr>
            </w:pPr>
            <w:r>
              <w:rPr>
                <w:rFonts w:ascii="Times New Roman" w:hAnsi="Times New Roman" w:eastAsia="仿宋"/>
                <w:sz w:val="28"/>
                <w:szCs w:val="28"/>
              </w:rPr>
              <w:t>《物业管理条例》第四十九条</w:t>
            </w:r>
          </w:p>
        </w:tc>
      </w:tr>
      <w:tr>
        <w:tblPrEx>
          <w:tblCellMar>
            <w:top w:w="0" w:type="dxa"/>
            <w:left w:w="108" w:type="dxa"/>
            <w:bottom w:w="0" w:type="dxa"/>
            <w:right w:w="108" w:type="dxa"/>
          </w:tblCellMar>
        </w:tblPrEx>
        <w:trPr>
          <w:trHeight w:val="90"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4</w:t>
            </w:r>
          </w:p>
        </w:tc>
        <w:tc>
          <w:tcPr>
            <w:tcW w:w="723" w:type="pct"/>
            <w:tcBorders>
              <w:top w:val="single" w:color="auto" w:sz="4" w:space="0"/>
              <w:left w:val="nil"/>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特定</w:t>
            </w:r>
          </w:p>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区域</w:t>
            </w:r>
          </w:p>
        </w:tc>
        <w:tc>
          <w:tcPr>
            <w:tcW w:w="2468" w:type="pct"/>
            <w:tcBorders>
              <w:top w:val="single" w:color="auto" w:sz="4" w:space="0"/>
              <w:left w:val="nil"/>
              <w:bottom w:val="single" w:color="auto" w:sz="4" w:space="0"/>
              <w:right w:val="single" w:color="auto" w:sz="4" w:space="0"/>
            </w:tcBorders>
            <w:shd w:val="clear" w:color="000000" w:fill="FFFFFF"/>
            <w:vAlign w:val="center"/>
          </w:tcPr>
          <w:p>
            <w:pPr>
              <w:spacing w:line="360" w:lineRule="exact"/>
              <w:ind w:firstLine="0"/>
              <w:rPr>
                <w:rFonts w:ascii="Times New Roman" w:hAnsi="Times New Roman" w:eastAsia="仿宋"/>
                <w:sz w:val="28"/>
                <w:szCs w:val="28"/>
              </w:rPr>
            </w:pPr>
            <w:r>
              <w:rPr>
                <w:rFonts w:ascii="Times New Roman" w:hAnsi="Times New Roman" w:eastAsia="仿宋"/>
                <w:sz w:val="28"/>
                <w:szCs w:val="28"/>
              </w:rPr>
              <w:t>赣榆区、海州区、连云区、东海县、灌云县、灌南县</w:t>
            </w:r>
            <w:r>
              <w:rPr>
                <w:rFonts w:hint="eastAsia" w:ascii="Times New Roman" w:hAnsi="Times New Roman" w:eastAsia="仿宋"/>
                <w:sz w:val="28"/>
                <w:szCs w:val="28"/>
              </w:rPr>
              <w:t>、</w:t>
            </w:r>
            <w:r>
              <w:rPr>
                <w:rFonts w:ascii="Times New Roman" w:hAnsi="Times New Roman" w:eastAsia="仿宋"/>
                <w:sz w:val="28"/>
                <w:szCs w:val="28"/>
              </w:rPr>
              <w:t>市经济技术开发区、国家东中西区域合作示范区、市高新技术产业开发区、云台山风景名胜区全部行政区域均为高污染燃料禁燃区。高污染燃料禁燃区内禁止销售、燃用高污染燃料，禁止新建、扩建燃用高污染燃料的设施。</w:t>
            </w:r>
          </w:p>
        </w:tc>
        <w:tc>
          <w:tcPr>
            <w:tcW w:w="1489" w:type="pct"/>
            <w:tcBorders>
              <w:top w:val="single" w:color="auto" w:sz="4" w:space="0"/>
              <w:left w:val="nil"/>
              <w:bottom w:val="single" w:color="auto" w:sz="4" w:space="0"/>
              <w:right w:val="single" w:color="auto" w:sz="4" w:space="0"/>
            </w:tcBorders>
            <w:shd w:val="clear" w:color="000000" w:fill="FFFFFF"/>
            <w:vAlign w:val="center"/>
          </w:tcPr>
          <w:p>
            <w:pPr>
              <w:spacing w:line="360" w:lineRule="exact"/>
              <w:ind w:firstLine="0"/>
              <w:jc w:val="left"/>
              <w:rPr>
                <w:rFonts w:ascii="Times New Roman" w:hAnsi="Times New Roman" w:eastAsia="仿宋"/>
                <w:sz w:val="28"/>
                <w:szCs w:val="28"/>
              </w:rPr>
            </w:pPr>
            <w:r>
              <w:rPr>
                <w:rFonts w:ascii="Times New Roman" w:hAnsi="Times New Roman" w:eastAsia="仿宋"/>
                <w:sz w:val="28"/>
                <w:szCs w:val="28"/>
              </w:rPr>
              <w:t>《连云港市人民政府关于进一步调整市区高污染燃料禁燃区的通告》</w:t>
            </w:r>
            <w:r>
              <w:rPr>
                <w:rFonts w:hint="eastAsia" w:ascii="Times New Roman" w:hAnsi="Times New Roman" w:eastAsia="仿宋"/>
                <w:sz w:val="28"/>
                <w:szCs w:val="28"/>
              </w:rPr>
              <w:t>（</w:t>
            </w:r>
            <w:r>
              <w:rPr>
                <w:rFonts w:ascii="Times New Roman" w:hAnsi="Times New Roman" w:eastAsia="仿宋"/>
                <w:sz w:val="28"/>
                <w:szCs w:val="28"/>
              </w:rPr>
              <w:t>连政发〔2019〕80号</w:t>
            </w:r>
            <w:r>
              <w:rPr>
                <w:rFonts w:hint="eastAsia" w:ascii="Times New Roman" w:hAnsi="Times New Roman" w:eastAsia="仿宋"/>
                <w:sz w:val="28"/>
                <w:szCs w:val="28"/>
              </w:rPr>
              <w:t>）</w:t>
            </w:r>
          </w:p>
        </w:tc>
      </w:tr>
      <w:tr>
        <w:tblPrEx>
          <w:tblCellMar>
            <w:top w:w="0" w:type="dxa"/>
            <w:left w:w="108" w:type="dxa"/>
            <w:bottom w:w="0" w:type="dxa"/>
            <w:right w:w="108" w:type="dxa"/>
          </w:tblCellMar>
        </w:tblPrEx>
        <w:trPr>
          <w:trHeight w:val="3131"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5</w:t>
            </w:r>
          </w:p>
        </w:tc>
        <w:tc>
          <w:tcPr>
            <w:tcW w:w="723" w:type="pct"/>
            <w:tcBorders>
              <w:top w:val="nil"/>
              <w:left w:val="nil"/>
              <w:bottom w:val="single" w:color="auto" w:sz="4" w:space="0"/>
              <w:right w:val="single" w:color="auto" w:sz="4" w:space="0"/>
            </w:tcBorders>
            <w:shd w:val="clear" w:color="000000" w:fill="FFFFFF"/>
            <w:vAlign w:val="center"/>
          </w:tcPr>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特定</w:t>
            </w:r>
          </w:p>
          <w:p>
            <w:pPr>
              <w:spacing w:line="360" w:lineRule="exact"/>
              <w:ind w:firstLine="0"/>
              <w:jc w:val="center"/>
              <w:rPr>
                <w:rFonts w:ascii="Times New Roman" w:hAnsi="Times New Roman" w:eastAsia="仿宋"/>
                <w:sz w:val="28"/>
                <w:szCs w:val="28"/>
              </w:rPr>
            </w:pPr>
            <w:r>
              <w:rPr>
                <w:rFonts w:ascii="Times New Roman" w:hAnsi="Times New Roman" w:eastAsia="仿宋"/>
                <w:sz w:val="28"/>
                <w:szCs w:val="28"/>
              </w:rPr>
              <w:t>区域</w:t>
            </w:r>
          </w:p>
        </w:tc>
        <w:tc>
          <w:tcPr>
            <w:tcW w:w="2468" w:type="pct"/>
            <w:tcBorders>
              <w:top w:val="nil"/>
              <w:left w:val="nil"/>
              <w:bottom w:val="single" w:color="auto" w:sz="4" w:space="0"/>
              <w:right w:val="single" w:color="auto" w:sz="4" w:space="0"/>
            </w:tcBorders>
            <w:shd w:val="clear" w:color="000000" w:fill="FFFFFF"/>
            <w:vAlign w:val="center"/>
          </w:tcPr>
          <w:p>
            <w:pPr>
              <w:spacing w:line="360" w:lineRule="exact"/>
              <w:ind w:firstLine="0"/>
              <w:rPr>
                <w:rFonts w:ascii="Times New Roman" w:hAnsi="Times New Roman" w:eastAsia="仿宋"/>
                <w:sz w:val="28"/>
                <w:szCs w:val="28"/>
              </w:rPr>
            </w:pPr>
            <w:r>
              <w:rPr>
                <w:rFonts w:ascii="Times New Roman" w:hAnsi="Times New Roman" w:eastAsia="仿宋"/>
                <w:sz w:val="28"/>
                <w:szCs w:val="28"/>
              </w:rPr>
              <w:t>1.任何单位和个人不得擅自改变养老服务设施建设用地用途或者养老服务设施用途，不得侵占、损害或者擅自拆除养老服务设施。</w:t>
            </w:r>
          </w:p>
          <w:p>
            <w:pPr>
              <w:spacing w:line="360" w:lineRule="exact"/>
              <w:ind w:firstLine="0"/>
              <w:rPr>
                <w:rFonts w:ascii="Times New Roman" w:hAnsi="Times New Roman" w:eastAsia="仿宋"/>
                <w:sz w:val="28"/>
                <w:szCs w:val="28"/>
              </w:rPr>
            </w:pPr>
            <w:r>
              <w:rPr>
                <w:rFonts w:ascii="Times New Roman" w:hAnsi="Times New Roman" w:eastAsia="仿宋"/>
                <w:sz w:val="28"/>
                <w:szCs w:val="28"/>
              </w:rPr>
              <w:t>2.社区（村）养老服务用房应当按照其规划设计用途进行使用，任何单位和个人不得擅自改变其规划用途，不得侵占、挪用、抵押或改作他用。</w:t>
            </w:r>
          </w:p>
        </w:tc>
        <w:tc>
          <w:tcPr>
            <w:tcW w:w="1489" w:type="pct"/>
            <w:tcBorders>
              <w:top w:val="nil"/>
              <w:left w:val="nil"/>
              <w:bottom w:val="single" w:color="auto" w:sz="4" w:space="0"/>
              <w:right w:val="single" w:color="auto" w:sz="4" w:space="0"/>
            </w:tcBorders>
            <w:shd w:val="clear" w:color="000000" w:fill="FFFFFF"/>
            <w:vAlign w:val="center"/>
          </w:tcPr>
          <w:p>
            <w:pPr>
              <w:spacing w:line="360" w:lineRule="exact"/>
              <w:ind w:firstLine="0"/>
              <w:rPr>
                <w:rFonts w:ascii="Times New Roman" w:hAnsi="Times New Roman" w:eastAsia="仿宋"/>
                <w:sz w:val="28"/>
                <w:szCs w:val="28"/>
              </w:rPr>
            </w:pPr>
            <w:r>
              <w:rPr>
                <w:rFonts w:ascii="Times New Roman" w:hAnsi="Times New Roman" w:eastAsia="仿宋"/>
                <w:sz w:val="28"/>
                <w:szCs w:val="28"/>
              </w:rPr>
              <w:t>《连云港市养老服务促进条例》（第十八条）</w:t>
            </w:r>
          </w:p>
          <w:p>
            <w:pPr>
              <w:spacing w:line="360" w:lineRule="exact"/>
              <w:ind w:firstLine="0"/>
              <w:rPr>
                <w:rFonts w:ascii="Times New Roman" w:hAnsi="Times New Roman" w:eastAsia="仿宋"/>
                <w:sz w:val="28"/>
                <w:szCs w:val="28"/>
              </w:rPr>
            </w:pPr>
            <w:r>
              <w:rPr>
                <w:rFonts w:ascii="Times New Roman" w:hAnsi="Times New Roman" w:eastAsia="仿宋"/>
                <w:sz w:val="28"/>
                <w:szCs w:val="28"/>
              </w:rPr>
              <w:t>《连云港市社区（村）养老服务用房建设移交办法》（第十七条）</w:t>
            </w:r>
          </w:p>
        </w:tc>
      </w:tr>
      <w:tr>
        <w:tblPrEx>
          <w:tblCellMar>
            <w:top w:w="0" w:type="dxa"/>
            <w:left w:w="108" w:type="dxa"/>
            <w:bottom w:w="0" w:type="dxa"/>
            <w:right w:w="108" w:type="dxa"/>
          </w:tblCellMar>
        </w:tblPrEx>
        <w:trPr>
          <w:trHeight w:val="829"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pPr>
              <w:spacing w:line="400" w:lineRule="exact"/>
              <w:ind w:firstLine="0"/>
              <w:jc w:val="center"/>
              <w:rPr>
                <w:rFonts w:ascii="Times New Roman" w:hAnsi="Times New Roman" w:eastAsia="仿宋"/>
                <w:sz w:val="28"/>
                <w:szCs w:val="28"/>
              </w:rPr>
            </w:pPr>
            <w:r>
              <w:rPr>
                <w:rFonts w:ascii="Times New Roman" w:hAnsi="Times New Roman" w:eastAsia="仿宋"/>
                <w:sz w:val="28"/>
                <w:szCs w:val="28"/>
              </w:rPr>
              <w:t>6</w:t>
            </w:r>
          </w:p>
        </w:tc>
        <w:tc>
          <w:tcPr>
            <w:tcW w:w="723" w:type="pct"/>
            <w:tcBorders>
              <w:top w:val="nil"/>
              <w:left w:val="nil"/>
              <w:bottom w:val="single" w:color="auto" w:sz="4" w:space="0"/>
              <w:right w:val="single" w:color="auto" w:sz="4" w:space="0"/>
            </w:tcBorders>
            <w:shd w:val="clear" w:color="000000" w:fill="FFFFFF"/>
            <w:vAlign w:val="center"/>
          </w:tcPr>
          <w:p>
            <w:pPr>
              <w:spacing w:line="400" w:lineRule="exact"/>
              <w:ind w:firstLine="0"/>
              <w:jc w:val="center"/>
              <w:rPr>
                <w:rFonts w:ascii="Times New Roman" w:hAnsi="Times New Roman" w:eastAsia="仿宋"/>
                <w:sz w:val="28"/>
                <w:szCs w:val="28"/>
              </w:rPr>
            </w:pPr>
            <w:r>
              <w:rPr>
                <w:rFonts w:ascii="Times New Roman" w:hAnsi="Times New Roman" w:eastAsia="仿宋"/>
                <w:sz w:val="28"/>
                <w:szCs w:val="28"/>
              </w:rPr>
              <w:t>全部</w:t>
            </w:r>
          </w:p>
          <w:p>
            <w:pPr>
              <w:spacing w:line="400" w:lineRule="exact"/>
              <w:ind w:firstLine="0"/>
              <w:jc w:val="center"/>
              <w:rPr>
                <w:rFonts w:ascii="Times New Roman" w:hAnsi="Times New Roman" w:eastAsia="仿宋"/>
                <w:sz w:val="28"/>
                <w:szCs w:val="28"/>
              </w:rPr>
            </w:pPr>
            <w:r>
              <w:rPr>
                <w:rFonts w:ascii="Times New Roman" w:hAnsi="Times New Roman" w:eastAsia="仿宋"/>
                <w:sz w:val="28"/>
                <w:szCs w:val="28"/>
              </w:rPr>
              <w:t>行业</w:t>
            </w:r>
          </w:p>
        </w:tc>
        <w:tc>
          <w:tcPr>
            <w:tcW w:w="2468" w:type="pct"/>
            <w:tcBorders>
              <w:top w:val="nil"/>
              <w:left w:val="nil"/>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sz w:val="28"/>
                <w:szCs w:val="28"/>
              </w:rPr>
            </w:pPr>
            <w:r>
              <w:rPr>
                <w:rFonts w:ascii="Times New Roman" w:hAnsi="Times New Roman" w:eastAsia="仿宋"/>
                <w:sz w:val="28"/>
                <w:szCs w:val="28"/>
              </w:rPr>
              <w:t>个人购买的经济适用住房在取得完全产权以前不得用于出租经营。</w:t>
            </w:r>
          </w:p>
        </w:tc>
        <w:tc>
          <w:tcPr>
            <w:tcW w:w="1489" w:type="pct"/>
            <w:tcBorders>
              <w:top w:val="nil"/>
              <w:left w:val="nil"/>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sz w:val="28"/>
                <w:szCs w:val="28"/>
              </w:rPr>
            </w:pPr>
            <w:r>
              <w:rPr>
                <w:rFonts w:ascii="Times New Roman" w:hAnsi="Times New Roman" w:eastAsia="仿宋"/>
                <w:sz w:val="28"/>
                <w:szCs w:val="28"/>
              </w:rPr>
              <w:t>《经济适用住房管理办法》（第三十三条）</w:t>
            </w:r>
          </w:p>
        </w:tc>
      </w:tr>
      <w:tr>
        <w:tblPrEx>
          <w:tblCellMar>
            <w:top w:w="0" w:type="dxa"/>
            <w:left w:w="108" w:type="dxa"/>
            <w:bottom w:w="0" w:type="dxa"/>
            <w:right w:w="108" w:type="dxa"/>
          </w:tblCellMar>
        </w:tblPrEx>
        <w:trPr>
          <w:trHeight w:val="1496" w:hRule="atLeast"/>
        </w:trPr>
        <w:tc>
          <w:tcPr>
            <w:tcW w:w="319" w:type="pct"/>
            <w:tcBorders>
              <w:top w:val="nil"/>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7</w:t>
            </w:r>
          </w:p>
        </w:tc>
        <w:tc>
          <w:tcPr>
            <w:tcW w:w="723" w:type="pct"/>
            <w:tcBorders>
              <w:top w:val="nil"/>
              <w:left w:val="nil"/>
              <w:bottom w:val="single" w:color="auto" w:sz="4" w:space="0"/>
              <w:right w:val="single" w:color="auto" w:sz="4" w:space="0"/>
            </w:tcBorders>
            <w:shd w:val="clear" w:color="000000" w:fill="FFFFFF"/>
            <w:vAlign w:val="center"/>
          </w:tcPr>
          <w:p>
            <w:pPr>
              <w:spacing w:line="400" w:lineRule="exact"/>
              <w:ind w:firstLine="0"/>
              <w:jc w:val="center"/>
              <w:rPr>
                <w:rFonts w:ascii="Times New Roman" w:hAnsi="Times New Roman" w:eastAsia="仿宋"/>
                <w:sz w:val="28"/>
                <w:szCs w:val="28"/>
              </w:rPr>
            </w:pPr>
            <w:r>
              <w:rPr>
                <w:rFonts w:ascii="Times New Roman" w:hAnsi="Times New Roman" w:eastAsia="仿宋"/>
                <w:sz w:val="28"/>
                <w:szCs w:val="28"/>
              </w:rPr>
              <w:t>全部</w:t>
            </w:r>
          </w:p>
          <w:p>
            <w:pPr>
              <w:spacing w:line="400" w:lineRule="exact"/>
              <w:ind w:firstLine="0"/>
              <w:jc w:val="center"/>
              <w:rPr>
                <w:rFonts w:ascii="Times New Roman" w:hAnsi="Times New Roman" w:eastAsia="仿宋"/>
                <w:sz w:val="28"/>
                <w:szCs w:val="28"/>
              </w:rPr>
            </w:pPr>
            <w:r>
              <w:rPr>
                <w:rFonts w:ascii="Times New Roman" w:hAnsi="Times New Roman" w:eastAsia="仿宋"/>
                <w:sz w:val="28"/>
                <w:szCs w:val="28"/>
              </w:rPr>
              <w:t>行业</w:t>
            </w:r>
          </w:p>
        </w:tc>
        <w:tc>
          <w:tcPr>
            <w:tcW w:w="2468" w:type="pct"/>
            <w:tcBorders>
              <w:top w:val="nil"/>
              <w:left w:val="nil"/>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sz w:val="28"/>
                <w:szCs w:val="28"/>
              </w:rPr>
            </w:pPr>
            <w:r>
              <w:rPr>
                <w:rFonts w:ascii="Times New Roman" w:hAnsi="Times New Roman" w:eastAsia="仿宋"/>
                <w:sz w:val="28"/>
                <w:szCs w:val="28"/>
              </w:rPr>
              <w:t>公共租赁住房的所有权人及其委托的运营单位不得改变公共租赁住房的保障性住房性质、用途及其配套设施的规划用途。</w:t>
            </w:r>
          </w:p>
        </w:tc>
        <w:tc>
          <w:tcPr>
            <w:tcW w:w="1489" w:type="pct"/>
            <w:tcBorders>
              <w:top w:val="nil"/>
              <w:left w:val="nil"/>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sz w:val="28"/>
                <w:szCs w:val="28"/>
              </w:rPr>
            </w:pPr>
            <w:r>
              <w:rPr>
                <w:rFonts w:ascii="Times New Roman" w:hAnsi="Times New Roman" w:eastAsia="仿宋"/>
                <w:sz w:val="28"/>
                <w:szCs w:val="28"/>
              </w:rPr>
              <w:t>《公共租赁住房管理办法》（第二十五条）</w:t>
            </w:r>
          </w:p>
        </w:tc>
      </w:tr>
      <w:tr>
        <w:tblPrEx>
          <w:tblCellMar>
            <w:top w:w="0" w:type="dxa"/>
            <w:left w:w="108" w:type="dxa"/>
            <w:bottom w:w="0" w:type="dxa"/>
            <w:right w:w="108" w:type="dxa"/>
          </w:tblCellMar>
        </w:tblPrEx>
        <w:trPr>
          <w:trHeight w:val="1042"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8</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旅行社及相关服务行业</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旅行社的经营场所不得设在非营业用房内。</w:t>
            </w: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《旅行社条例实施细则》（第六条）</w:t>
            </w:r>
          </w:p>
        </w:tc>
      </w:tr>
      <w:tr>
        <w:tblPrEx>
          <w:tblCellMar>
            <w:top w:w="0" w:type="dxa"/>
            <w:left w:w="108" w:type="dxa"/>
            <w:bottom w:w="0" w:type="dxa"/>
            <w:right w:w="108" w:type="dxa"/>
          </w:tblCellMar>
        </w:tblPrEx>
        <w:trPr>
          <w:trHeight w:val="172"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9</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烟草制品零售行业</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中小学校、特殊教育学校、中等职业学校、专门学校、幼儿园周围经营烟草专卖品业务不予发放烟草专卖零售许可证。</w:t>
            </w: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《烟草专卖许可证管理办法》（第二十五条）</w:t>
            </w:r>
          </w:p>
          <w:p>
            <w:pPr>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《电子烟管理办法》（第十八条）</w:t>
            </w:r>
          </w:p>
        </w:tc>
      </w:tr>
      <w:tr>
        <w:tblPrEx>
          <w:tblCellMar>
            <w:top w:w="0" w:type="dxa"/>
            <w:left w:w="108" w:type="dxa"/>
            <w:bottom w:w="0" w:type="dxa"/>
            <w:right w:w="108" w:type="dxa"/>
          </w:tblCellMar>
        </w:tblPrEx>
        <w:trPr>
          <w:trHeight w:val="1440"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center"/>
              <w:rPr>
                <w:rFonts w:ascii="Times New Roman" w:hAnsi="Times New Roman" w:eastAsia="仿宋"/>
                <w:sz w:val="28"/>
                <w:szCs w:val="28"/>
              </w:rPr>
            </w:pPr>
            <w:r>
              <w:rPr>
                <w:rFonts w:ascii="Times New Roman" w:hAnsi="Times New Roman" w:eastAsia="仿宋"/>
                <w:sz w:val="28"/>
                <w:szCs w:val="28"/>
              </w:rPr>
              <w:t>10</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医疗用品及器材批发行业</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医疗器械经营企业的经营场所和库房不得设在居民住宅内、军事管理区（不含可租赁区）以及其他不适合经营的场所。</w:t>
            </w: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《医疗器械经营质量管理规范》（第十六条）</w:t>
            </w:r>
          </w:p>
        </w:tc>
      </w:tr>
      <w:tr>
        <w:tblPrEx>
          <w:tblCellMar>
            <w:top w:w="0" w:type="dxa"/>
            <w:left w:w="108" w:type="dxa"/>
            <w:bottom w:w="0" w:type="dxa"/>
            <w:right w:w="108" w:type="dxa"/>
          </w:tblCellMar>
        </w:tblPrEx>
        <w:trPr>
          <w:trHeight w:val="4194"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11</w:t>
            </w:r>
          </w:p>
        </w:tc>
        <w:tc>
          <w:tcPr>
            <w:tcW w:w="723" w:type="pct"/>
            <w:tcBorders>
              <w:top w:val="single" w:color="auto" w:sz="4" w:space="0"/>
              <w:left w:val="nil"/>
              <w:bottom w:val="single" w:color="auto" w:sz="4" w:space="0"/>
              <w:right w:val="single" w:color="auto" w:sz="4" w:space="0"/>
            </w:tcBorders>
            <w:shd w:val="clear" w:color="000000" w:fill="FFFFFF"/>
            <w:vAlign w:val="center"/>
          </w:tcPr>
          <w:p>
            <w:pPr>
              <w:spacing w:line="400" w:lineRule="exact"/>
              <w:ind w:firstLine="0"/>
              <w:rPr>
                <w:rFonts w:ascii="Times New Roman" w:hAnsi="Times New Roman" w:eastAsia="仿宋"/>
                <w:sz w:val="28"/>
                <w:szCs w:val="28"/>
              </w:rPr>
            </w:pPr>
            <w:r>
              <w:rPr>
                <w:rFonts w:ascii="Times New Roman" w:hAnsi="Times New Roman" w:eastAsia="仿宋"/>
                <w:sz w:val="28"/>
                <w:szCs w:val="28"/>
              </w:rPr>
              <w:t>生产、储存、经营易燃易爆危险品行业</w:t>
            </w:r>
          </w:p>
        </w:tc>
        <w:tc>
          <w:tcPr>
            <w:tcW w:w="2468" w:type="pct"/>
            <w:tcBorders>
              <w:top w:val="single" w:color="auto" w:sz="4" w:space="0"/>
              <w:left w:val="nil"/>
              <w:bottom w:val="single" w:color="auto" w:sz="4" w:space="0"/>
              <w:right w:val="single" w:color="auto" w:sz="4" w:space="0"/>
            </w:tcBorders>
            <w:shd w:val="clear" w:color="000000" w:fill="FFFFFF"/>
            <w:vAlign w:val="center"/>
          </w:tcPr>
          <w:p>
            <w:pPr>
              <w:spacing w:line="380" w:lineRule="exact"/>
              <w:ind w:firstLine="0"/>
              <w:rPr>
                <w:rFonts w:ascii="Times New Roman" w:hAnsi="Times New Roman" w:eastAsia="仿宋"/>
                <w:sz w:val="28"/>
                <w:szCs w:val="28"/>
              </w:rPr>
            </w:pPr>
            <w:r>
              <w:rPr>
                <w:rFonts w:ascii="Times New Roman" w:hAnsi="Times New Roman" w:eastAsia="仿宋"/>
                <w:sz w:val="28"/>
                <w:szCs w:val="28"/>
              </w:rPr>
              <w:t>1、生产、储存、经营易燃易爆危险品的场所不得与居住场所设置在同一建筑物内，并应当与居住场所保持安全距离。</w:t>
            </w:r>
          </w:p>
          <w:p>
            <w:pPr>
              <w:spacing w:line="380" w:lineRule="exact"/>
              <w:ind w:firstLine="0"/>
              <w:rPr>
                <w:rFonts w:ascii="Times New Roman" w:hAnsi="Times New Roman" w:eastAsia="仿宋"/>
                <w:sz w:val="28"/>
                <w:szCs w:val="28"/>
              </w:rPr>
            </w:pPr>
            <w:r>
              <w:rPr>
                <w:rFonts w:ascii="Times New Roman" w:hAnsi="Times New Roman" w:eastAsia="仿宋"/>
                <w:sz w:val="28"/>
                <w:szCs w:val="28"/>
              </w:rPr>
              <w:t>2、生产、储存、经营其他物品的场所与居住场所设置在同一建筑物内的，应当符合国家工程建设消防技术标准。</w:t>
            </w:r>
          </w:p>
          <w:p>
            <w:pPr>
              <w:spacing w:line="380" w:lineRule="exact"/>
              <w:ind w:firstLine="0"/>
              <w:rPr>
                <w:rFonts w:ascii="Times New Roman" w:hAnsi="Times New Roman" w:eastAsia="仿宋"/>
                <w:sz w:val="28"/>
                <w:szCs w:val="28"/>
              </w:rPr>
            </w:pPr>
            <w:r>
              <w:rPr>
                <w:rFonts w:ascii="Times New Roman" w:hAnsi="Times New Roman" w:eastAsia="仿宋"/>
                <w:sz w:val="28"/>
                <w:szCs w:val="28"/>
              </w:rPr>
              <w:t>3、任何组织或者个人不得在人民防空工程内生产、储存爆炸、剧毒、易燃、放射性和腐蚀性物品。</w:t>
            </w:r>
          </w:p>
        </w:tc>
        <w:tc>
          <w:tcPr>
            <w:tcW w:w="1489" w:type="pct"/>
            <w:tcBorders>
              <w:top w:val="single" w:color="auto" w:sz="4" w:space="0"/>
              <w:left w:val="nil"/>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sz w:val="28"/>
                <w:szCs w:val="28"/>
              </w:rPr>
            </w:pPr>
            <w:r>
              <w:rPr>
                <w:rFonts w:ascii="Times New Roman" w:hAnsi="Times New Roman" w:eastAsia="仿宋"/>
                <w:sz w:val="28"/>
                <w:szCs w:val="28"/>
              </w:rPr>
              <w:t>《消防法》第十九条</w:t>
            </w:r>
          </w:p>
          <w:p>
            <w:pPr>
              <w:spacing w:line="400" w:lineRule="exact"/>
              <w:ind w:firstLine="0"/>
              <w:jc w:val="left"/>
              <w:rPr>
                <w:rFonts w:ascii="Times New Roman" w:hAnsi="Times New Roman" w:eastAsia="仿宋"/>
                <w:sz w:val="28"/>
                <w:szCs w:val="28"/>
              </w:rPr>
            </w:pPr>
            <w:r>
              <w:rPr>
                <w:rFonts w:ascii="Times New Roman" w:hAnsi="Times New Roman" w:eastAsia="仿宋"/>
                <w:sz w:val="28"/>
                <w:szCs w:val="28"/>
              </w:rPr>
              <w:t>《防空法》第二十七条</w:t>
            </w:r>
          </w:p>
        </w:tc>
      </w:tr>
      <w:tr>
        <w:tblPrEx>
          <w:tblCellMar>
            <w:top w:w="0" w:type="dxa"/>
            <w:left w:w="108" w:type="dxa"/>
            <w:bottom w:w="0" w:type="dxa"/>
            <w:right w:w="108" w:type="dxa"/>
          </w:tblCellMar>
        </w:tblPrEx>
        <w:trPr>
          <w:trHeight w:val="5313"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12</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批发和零售行业（烟花爆竹）</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rPr>
                <w:rFonts w:ascii="Times New Roman" w:hAnsi="Times New Roman" w:eastAsia="仿宋"/>
                <w:color w:val="000000"/>
                <w:sz w:val="28"/>
                <w:szCs w:val="28"/>
              </w:rPr>
            </w:pPr>
            <w:r>
              <w:rPr>
                <w:rFonts w:ascii="Times New Roman" w:hAnsi="Times New Roman" w:eastAsia="仿宋"/>
                <w:color w:val="000000"/>
                <w:sz w:val="28"/>
                <w:szCs w:val="28"/>
              </w:rPr>
              <w:t>1、禁止在城市市区布设烟花爆竹批发场所；城市市区的烟花爆竹零售网点，应当按照严格控制的原则合理布设。</w:t>
            </w:r>
          </w:p>
          <w:p>
            <w:pPr>
              <w:widowControl/>
              <w:spacing w:line="400" w:lineRule="exact"/>
              <w:ind w:firstLine="0"/>
              <w:rPr>
                <w:rFonts w:ascii="Times New Roman" w:hAnsi="Times New Roman" w:eastAsia="仿宋"/>
                <w:color w:val="000000"/>
                <w:sz w:val="28"/>
                <w:szCs w:val="28"/>
              </w:rPr>
            </w:pPr>
            <w:r>
              <w:rPr>
                <w:rFonts w:ascii="Times New Roman" w:hAnsi="Times New Roman" w:eastAsia="仿宋"/>
                <w:color w:val="000000"/>
                <w:sz w:val="28"/>
                <w:szCs w:val="28"/>
              </w:rPr>
              <w:t>2、批发企业不得在城市建成区内设立烟花爆竹储存仓库，不得在批发（展示）场所摆放有药样品；严格控制城市建成区内烟花爆竹零售点数量，且烟花爆竹零售点不得与居民居住场所设置在同一建筑物内。</w:t>
            </w:r>
          </w:p>
          <w:p>
            <w:pPr>
              <w:widowControl/>
              <w:spacing w:line="400" w:lineRule="exact"/>
              <w:ind w:firstLine="0"/>
              <w:rPr>
                <w:rFonts w:ascii="Times New Roman" w:hAnsi="Times New Roman" w:eastAsia="仿宋"/>
                <w:color w:val="000000"/>
                <w:sz w:val="28"/>
                <w:szCs w:val="28"/>
              </w:rPr>
            </w:pPr>
            <w:r>
              <w:rPr>
                <w:rFonts w:ascii="Times New Roman" w:hAnsi="Times New Roman" w:eastAsia="仿宋"/>
                <w:color w:val="000000"/>
                <w:sz w:val="28"/>
                <w:szCs w:val="28"/>
              </w:rPr>
              <w:t>3、零售场所的面积不小于10平方米，其周边50米范围内没有其他烟花爆竹零售点，并与学校、幼儿园、医院、集贸市场等人员密集场所和加油站等易燃易爆物品生产、储存设施等重点建筑物保持100米以上的安全距离。</w:t>
            </w: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《烟花爆竹安全管理条例》（第十六条）</w:t>
            </w:r>
          </w:p>
          <w:p>
            <w:pPr>
              <w:widowControl/>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《烟花爆竹经营许可实施办法》（第四条）</w:t>
            </w:r>
          </w:p>
          <w:p>
            <w:pPr>
              <w:widowControl/>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《烟花爆竹经营许可实施办法》（第十六条）</w:t>
            </w:r>
          </w:p>
        </w:tc>
      </w:tr>
      <w:tr>
        <w:tblPrEx>
          <w:tblCellMar>
            <w:top w:w="0" w:type="dxa"/>
            <w:left w:w="108" w:type="dxa"/>
            <w:bottom w:w="0" w:type="dxa"/>
            <w:right w:w="108" w:type="dxa"/>
          </w:tblCellMar>
        </w:tblPrEx>
        <w:trPr>
          <w:trHeight w:val="6000"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13</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娱乐业（歌舞、游艺等）</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1、学校、幼儿园周边不得设置营业性娱乐场所、酒吧、互联网上网服务营业场所等不适宜未成年人活动的场所。</w:t>
            </w:r>
          </w:p>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2、娱乐场所不得设在下列地点：</w:t>
            </w:r>
          </w:p>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（一）居民楼、博物馆、图书馆和被核定为文物保护单位的建筑物内；</w:t>
            </w:r>
          </w:p>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（二）居民住宅区和学校、医院、机关周围；</w:t>
            </w:r>
          </w:p>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（三）车站、机场等人群密集的场所；</w:t>
            </w:r>
          </w:p>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（四）建筑物地下一层以下；</w:t>
            </w:r>
          </w:p>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（五）与危险化学品仓库毗连的区域。</w:t>
            </w:r>
          </w:p>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娱乐场所的边界噪声，应当符合国家规定的环境噪声标准。</w:t>
            </w: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《未成年人保护法》第五十六条</w:t>
            </w:r>
          </w:p>
          <w:p>
            <w:pPr>
              <w:widowControl/>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《娱乐场所管理条例》第七条</w:t>
            </w:r>
          </w:p>
        </w:tc>
      </w:tr>
      <w:tr>
        <w:tblPrEx>
          <w:tblCellMar>
            <w:top w:w="0" w:type="dxa"/>
            <w:left w:w="108" w:type="dxa"/>
            <w:bottom w:w="0" w:type="dxa"/>
            <w:right w:w="108" w:type="dxa"/>
          </w:tblCellMar>
        </w:tblPrEx>
        <w:trPr>
          <w:trHeight w:val="5510"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14</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餐饮</w:t>
            </w:r>
          </w:p>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行业</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1、排放油烟的餐饮服务业经营者应当安装油烟净化设施并保持正常使用，或者采取其他油烟净化措施，使油烟达标排放，并防止对附近居民的正常生活环境造成污染。</w:t>
            </w:r>
          </w:p>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2、禁止在居民住宅楼、未配套设立专用烟道的商住综合楼以及商住综合楼内与居住层相邻的商业楼层内新建、改建、扩建产生油烟、异味、废气的餐饮服务项目。</w:t>
            </w:r>
          </w:p>
          <w:p>
            <w:pPr>
              <w:widowControl/>
              <w:spacing w:line="38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3、不得在当地人民政府禁止的区域内露天烧烤食品或者为露天烧烤食品提供场地。</w:t>
            </w: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《中华人民共和国大气污染防治法》（第八十一条）</w:t>
            </w:r>
          </w:p>
        </w:tc>
      </w:tr>
      <w:tr>
        <w:tblPrEx>
          <w:tblCellMar>
            <w:top w:w="0" w:type="dxa"/>
            <w:left w:w="108" w:type="dxa"/>
            <w:bottom w:w="0" w:type="dxa"/>
            <w:right w:w="108" w:type="dxa"/>
          </w:tblCellMar>
        </w:tblPrEx>
        <w:trPr>
          <w:trHeight w:val="4901"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ascii="Times New Roman" w:hAnsi="Times New Roman" w:eastAsia="仿宋"/>
                <w:color w:val="000000"/>
                <w:sz w:val="28"/>
                <w:szCs w:val="28"/>
              </w:rPr>
              <w:t>15</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家畜家禽饲养行业</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1、按国家行政建制设立的市的市区内，禁止饲养鸡、鸭、鹅、兔、羊、猪等家畜家禽；因教学、科研以及其他特殊需要饲养的除外。</w:t>
            </w:r>
          </w:p>
          <w:p>
            <w:pPr>
              <w:widowControl/>
              <w:spacing w:line="36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2、禁止在下列区域内建设畜禽养殖场、养殖小区：</w:t>
            </w:r>
          </w:p>
          <w:p>
            <w:pPr>
              <w:widowControl/>
              <w:spacing w:line="36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（一）饮用水水源保护区，风景名胜区；</w:t>
            </w:r>
          </w:p>
          <w:p>
            <w:pPr>
              <w:widowControl/>
              <w:spacing w:line="36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（二）自然保护区的核心区和缓冲区；</w:t>
            </w:r>
          </w:p>
          <w:p>
            <w:pPr>
              <w:widowControl/>
              <w:spacing w:line="36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（三）城镇居民区、文化教育科学研究区等人口集中区域；</w:t>
            </w:r>
          </w:p>
          <w:p>
            <w:pPr>
              <w:widowControl/>
              <w:spacing w:line="36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（四）法律、法规规定的其他禁止养殖区域。</w:t>
            </w: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《城市市容和环境卫生管理条例》（第三十三条）</w:t>
            </w:r>
          </w:p>
          <w:p>
            <w:pPr>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《畜禽规模养殖污染防治条例》（第十一条）</w:t>
            </w:r>
          </w:p>
        </w:tc>
      </w:tr>
      <w:tr>
        <w:tblPrEx>
          <w:tblCellMar>
            <w:top w:w="0" w:type="dxa"/>
            <w:left w:w="108" w:type="dxa"/>
            <w:bottom w:w="0" w:type="dxa"/>
            <w:right w:w="108" w:type="dxa"/>
          </w:tblCellMar>
        </w:tblPrEx>
        <w:trPr>
          <w:trHeight w:val="5661"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ascii="Times New Roman" w:hAnsi="Times New Roman" w:eastAsia="仿宋"/>
                <w:color w:val="000000"/>
                <w:sz w:val="28"/>
                <w:szCs w:val="28"/>
              </w:rPr>
            </w:pPr>
            <w:r>
              <w:rPr>
                <w:rFonts w:hint="eastAsia" w:ascii="Times New Roman" w:hAnsi="Times New Roman" w:eastAsia="仿宋"/>
                <w:color w:val="000000"/>
                <w:sz w:val="28"/>
                <w:szCs w:val="28"/>
              </w:rPr>
              <w:t>16</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采矿</w:t>
            </w:r>
          </w:p>
          <w:p>
            <w:pPr>
              <w:widowControl/>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行业</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34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非经国务院授权的有关主管部门同意，不得在下列地区开采矿产资源</w:t>
            </w:r>
            <w:r>
              <w:rPr>
                <w:rFonts w:hint="eastAsia" w:ascii="Times New Roman" w:hAnsi="Times New Roman" w:eastAsia="仿宋"/>
                <w:color w:val="000000"/>
                <w:sz w:val="28"/>
                <w:szCs w:val="28"/>
                <w:lang w:eastAsia="zh-CN"/>
              </w:rPr>
              <w:t>：</w:t>
            </w:r>
          </w:p>
          <w:p>
            <w:pPr>
              <w:widowControl/>
              <w:spacing w:line="34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（一）港口、机场、国防工程设施圈定地区以内；</w:t>
            </w:r>
          </w:p>
          <w:p>
            <w:pPr>
              <w:widowControl/>
              <w:spacing w:line="34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（二）重要工业区、大型水利工程设施、城镇市政工程设施附近一定距离以内；</w:t>
            </w:r>
          </w:p>
          <w:p>
            <w:pPr>
              <w:widowControl/>
              <w:spacing w:line="34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（三）铁路、重要公路两侧一定距离以内；</w:t>
            </w:r>
          </w:p>
          <w:p>
            <w:pPr>
              <w:widowControl/>
              <w:spacing w:line="34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（四）重要河流、堤坝两侧一定距离以内；</w:t>
            </w:r>
          </w:p>
          <w:p>
            <w:pPr>
              <w:widowControl/>
              <w:spacing w:line="34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（五）国家划定的自然保护区、重要风景区，国家重点保护的不能移动的历史文物和名胜古迹所在地；</w:t>
            </w:r>
          </w:p>
          <w:p>
            <w:pPr>
              <w:widowControl/>
              <w:spacing w:line="34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（六）国家规定不得开采矿产资源的其他地区。</w:t>
            </w: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《矿产资源法》（第二十条）</w:t>
            </w:r>
          </w:p>
        </w:tc>
      </w:tr>
      <w:tr>
        <w:tblPrEx>
          <w:tblCellMar>
            <w:top w:w="0" w:type="dxa"/>
            <w:left w:w="108" w:type="dxa"/>
            <w:bottom w:w="0" w:type="dxa"/>
            <w:right w:w="108" w:type="dxa"/>
          </w:tblCellMar>
        </w:tblPrEx>
        <w:trPr>
          <w:trHeight w:val="3264"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jc w:val="center"/>
              <w:rPr>
                <w:rFonts w:ascii="Times New Roman" w:hAnsi="Times New Roman" w:eastAsia="仿宋"/>
                <w:color w:val="000000"/>
                <w:sz w:val="28"/>
                <w:szCs w:val="28"/>
              </w:rPr>
            </w:pPr>
            <w:r>
              <w:rPr>
                <w:rFonts w:hint="eastAsia" w:ascii="Times New Roman" w:hAnsi="Times New Roman" w:eastAsia="仿宋"/>
                <w:sz w:val="28"/>
                <w:szCs w:val="28"/>
              </w:rPr>
              <w:t>17</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教育</w:t>
            </w:r>
          </w:p>
          <w:p>
            <w:pPr>
              <w:widowControl/>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培训</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面向中小学生（包括3至6岁学龄前儿童）的校外培训机构，办学场所不得选用居民住宅、半地下室、地下室</w:t>
            </w:r>
            <w:r>
              <w:rPr>
                <w:rFonts w:hint="eastAsia" w:ascii="Times New Roman" w:hAnsi="Times New Roman" w:eastAsia="仿宋"/>
                <w:color w:val="000000"/>
                <w:sz w:val="28"/>
                <w:szCs w:val="28"/>
                <w:lang w:eastAsia="zh-CN"/>
              </w:rPr>
              <w:t>及其他有</w:t>
            </w:r>
            <w:r>
              <w:rPr>
                <w:rFonts w:ascii="Times New Roman" w:hAnsi="Times New Roman" w:eastAsia="仿宋"/>
                <w:color w:val="000000"/>
                <w:sz w:val="28"/>
                <w:szCs w:val="28"/>
              </w:rPr>
              <w:t>安全隐患的场所。</w:t>
            </w:r>
          </w:p>
          <w:p>
            <w:pPr>
              <w:widowControl/>
              <w:spacing w:line="340" w:lineRule="exact"/>
              <w:ind w:firstLine="0"/>
              <w:jc w:val="left"/>
              <w:rPr>
                <w:rFonts w:ascii="Times New Roman" w:hAnsi="Times New Roman" w:eastAsia="仿宋"/>
                <w:color w:val="000000"/>
                <w:sz w:val="28"/>
                <w:szCs w:val="28"/>
              </w:rPr>
            </w:pP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《国务院办公厅关于规范校外培训机构发展的意见》《省政府办公厅关于规范校外培训机构发展的实施意见》《连云港市校外培训机构设置标准》</w:t>
            </w:r>
          </w:p>
        </w:tc>
      </w:tr>
      <w:tr>
        <w:tblPrEx>
          <w:tblCellMar>
            <w:top w:w="0" w:type="dxa"/>
            <w:left w:w="108" w:type="dxa"/>
            <w:bottom w:w="0" w:type="dxa"/>
            <w:right w:w="108" w:type="dxa"/>
          </w:tblCellMar>
        </w:tblPrEx>
        <w:trPr>
          <w:trHeight w:val="3264"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ind w:firstLine="0"/>
              <w:jc w:val="center"/>
              <w:rPr>
                <w:rFonts w:hint="default"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18</w:t>
            </w:r>
          </w:p>
        </w:tc>
        <w:tc>
          <w:tcPr>
            <w:tcW w:w="72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left"/>
              <w:rPr>
                <w:rFonts w:hint="eastAsia" w:ascii="Times New Roman" w:hAnsi="Times New Roman" w:eastAsia="仿宋"/>
                <w:color w:val="auto"/>
                <w:sz w:val="28"/>
                <w:szCs w:val="28"/>
                <w:lang w:eastAsia="zh-CN"/>
              </w:rPr>
            </w:pPr>
            <w:r>
              <w:rPr>
                <w:rFonts w:hint="eastAsia" w:ascii="Times New Roman" w:hAnsi="Times New Roman" w:eastAsia="仿宋"/>
                <w:color w:val="auto"/>
                <w:sz w:val="28"/>
                <w:szCs w:val="28"/>
                <w:lang w:eastAsia="zh-CN"/>
              </w:rPr>
              <w:t>农村</w:t>
            </w:r>
          </w:p>
          <w:p>
            <w:pPr>
              <w:widowControl/>
              <w:ind w:firstLine="0"/>
              <w:jc w:val="left"/>
              <w:rPr>
                <w:rFonts w:hint="eastAsia" w:ascii="Times New Roman" w:hAnsi="Times New Roman" w:eastAsia="仿宋"/>
                <w:color w:val="auto"/>
                <w:sz w:val="28"/>
                <w:szCs w:val="28"/>
                <w:lang w:eastAsia="zh-CN"/>
              </w:rPr>
            </w:pPr>
            <w:r>
              <w:rPr>
                <w:rFonts w:hint="eastAsia" w:ascii="Times New Roman" w:hAnsi="Times New Roman" w:eastAsia="仿宋"/>
                <w:color w:val="auto"/>
                <w:sz w:val="28"/>
                <w:szCs w:val="28"/>
                <w:lang w:eastAsia="zh-CN"/>
              </w:rPr>
              <w:t>自建房</w:t>
            </w:r>
          </w:p>
        </w:tc>
        <w:tc>
          <w:tcPr>
            <w:tcW w:w="2468"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360" w:lineRule="exact"/>
              <w:ind w:left="0" w:leftChars="0" w:firstLine="0" w:firstLineChars="0"/>
              <w:jc w:val="left"/>
              <w:textAlignment w:val="auto"/>
              <w:rPr>
                <w:rFonts w:hint="eastAsia" w:ascii="Times New Roman" w:hAnsi="Times New Roman" w:eastAsia="仿宋"/>
                <w:color w:val="000000"/>
                <w:sz w:val="28"/>
                <w:szCs w:val="28"/>
                <w:lang w:eastAsia="zh-CN"/>
              </w:rPr>
            </w:pPr>
            <w:r>
              <w:rPr>
                <w:rFonts w:hint="eastAsia" w:ascii="Times New Roman" w:hAnsi="Times New Roman" w:eastAsia="仿宋"/>
                <w:color w:val="auto"/>
                <w:sz w:val="28"/>
                <w:szCs w:val="28"/>
                <w:lang w:eastAsia="zh-CN"/>
              </w:rPr>
              <w:t>使</w:t>
            </w:r>
            <w:r>
              <w:rPr>
                <w:rFonts w:hint="eastAsia" w:ascii="Times New Roman" w:hAnsi="Times New Roman" w:eastAsia="仿宋"/>
                <w:color w:val="000000"/>
                <w:sz w:val="28"/>
                <w:szCs w:val="28"/>
                <w:lang w:eastAsia="zh-CN"/>
              </w:rPr>
              <w:t>用安全责任人利用农村自建房从事经营的，在办理营业或者开业手续前，应进行建筑安全评估（鉴定），</w:t>
            </w:r>
            <w:r>
              <w:rPr>
                <w:rFonts w:hint="eastAsia" w:ascii="Times New Roman" w:hAnsi="Times New Roman" w:eastAsia="仿宋"/>
                <w:color w:val="000000"/>
                <w:sz w:val="28"/>
                <w:szCs w:val="28"/>
                <w:lang w:val="en-US" w:eastAsia="zh-CN"/>
              </w:rPr>
              <w:t>由所在地乡镇政府、街道办事处负责核查。</w:t>
            </w:r>
          </w:p>
          <w:p>
            <w:pPr>
              <w:widowControl/>
              <w:spacing w:line="340" w:lineRule="exact"/>
              <w:ind w:firstLine="0"/>
              <w:jc w:val="left"/>
              <w:rPr>
                <w:rFonts w:ascii="Times New Roman" w:hAnsi="Times New Roman" w:eastAsia="仿宋"/>
                <w:color w:val="auto"/>
                <w:sz w:val="28"/>
                <w:szCs w:val="28"/>
              </w:rPr>
            </w:pPr>
          </w:p>
        </w:tc>
        <w:tc>
          <w:tcPr>
            <w:tcW w:w="1489" w:type="pct"/>
            <w:tcBorders>
              <w:top w:val="single" w:color="auto" w:sz="4" w:space="0"/>
              <w:left w:val="single" w:color="auto" w:sz="4" w:space="0"/>
              <w:bottom w:val="single" w:color="auto" w:sz="4" w:space="0"/>
              <w:right w:val="single" w:color="auto" w:sz="4" w:space="0"/>
            </w:tcBorders>
            <w:shd w:val="clear" w:color="000000" w:fill="FFFFFF"/>
            <w:vAlign w:val="center"/>
          </w:tcPr>
          <w:p>
            <w:pPr>
              <w:spacing w:line="400" w:lineRule="exact"/>
              <w:ind w:firstLine="0"/>
              <w:jc w:val="left"/>
              <w:rPr>
                <w:rFonts w:ascii="Times New Roman" w:hAnsi="Times New Roman" w:eastAsia="仿宋"/>
                <w:color w:val="auto"/>
                <w:sz w:val="28"/>
                <w:szCs w:val="28"/>
              </w:rPr>
            </w:pPr>
            <w:r>
              <w:rPr>
                <w:rFonts w:hint="eastAsia" w:ascii="Times New Roman" w:hAnsi="Times New Roman" w:eastAsia="仿宋"/>
                <w:color w:val="auto"/>
                <w:sz w:val="28"/>
                <w:szCs w:val="28"/>
                <w:lang w:eastAsia="zh-CN"/>
              </w:rPr>
              <w:t>《关于加强用作经营的农村自建房使用安全管理的指导意见》（苏农房排查联</w:t>
            </w:r>
            <w:r>
              <w:rPr>
                <w:rFonts w:ascii="Times New Roman" w:hAnsi="Times New Roman" w:eastAsia="仿宋_GB2312"/>
                <w:color w:val="auto"/>
                <w:szCs w:val="32"/>
              </w:rPr>
              <w:t>〔20</w:t>
            </w:r>
            <w:r>
              <w:rPr>
                <w:rFonts w:hint="eastAsia" w:ascii="Times New Roman" w:hAnsi="Times New Roman" w:eastAsia="仿宋_GB2312"/>
                <w:color w:val="auto"/>
                <w:szCs w:val="32"/>
              </w:rPr>
              <w:t>22</w:t>
            </w:r>
            <w:r>
              <w:rPr>
                <w:rFonts w:ascii="Times New Roman" w:hAnsi="Times New Roman" w:eastAsia="仿宋_GB2312"/>
                <w:color w:val="auto"/>
                <w:szCs w:val="32"/>
              </w:rPr>
              <w:t>〕</w:t>
            </w:r>
            <w:r>
              <w:rPr>
                <w:rFonts w:hint="eastAsia" w:ascii="Times New Roman" w:hAnsi="Times New Roman" w:eastAsia="仿宋"/>
                <w:color w:val="auto"/>
                <w:sz w:val="28"/>
                <w:szCs w:val="28"/>
                <w:lang w:val="en-US" w:eastAsia="zh-CN"/>
              </w:rPr>
              <w:t>1号</w:t>
            </w:r>
            <w:r>
              <w:rPr>
                <w:rFonts w:hint="eastAsia" w:ascii="Times New Roman" w:hAnsi="Times New Roman" w:eastAsia="仿宋"/>
                <w:color w:val="auto"/>
                <w:sz w:val="28"/>
                <w:szCs w:val="28"/>
                <w:lang w:eastAsia="zh-CN"/>
              </w:rPr>
              <w:t>）、连农房安治办〔2021〕14号 关于转发《关于加强用作经营的农村自建房使用安全管理的指导意见》的通知</w:t>
            </w:r>
          </w:p>
        </w:tc>
      </w:tr>
      <w:tr>
        <w:tblPrEx>
          <w:tblCellMar>
            <w:top w:w="0" w:type="dxa"/>
            <w:left w:w="108" w:type="dxa"/>
            <w:bottom w:w="0" w:type="dxa"/>
            <w:right w:w="108" w:type="dxa"/>
          </w:tblCellMar>
        </w:tblPrEx>
        <w:trPr>
          <w:trHeight w:val="970" w:hRule="atLeast"/>
        </w:trPr>
        <w:tc>
          <w:tcPr>
            <w:tcW w:w="31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jc w:val="center"/>
              <w:rPr>
                <w:rFonts w:hint="default" w:ascii="Times New Roman" w:hAnsi="Times New Roman" w:eastAsia="仿宋"/>
                <w:color w:val="000000"/>
                <w:sz w:val="28"/>
                <w:szCs w:val="28"/>
                <w:lang w:val="en-US" w:eastAsia="zh-CN"/>
              </w:rPr>
            </w:pPr>
            <w:r>
              <w:rPr>
                <w:rFonts w:hint="eastAsia" w:ascii="Times New Roman" w:hAnsi="Times New Roman" w:eastAsia="仿宋"/>
                <w:color w:val="000000"/>
                <w:sz w:val="28"/>
                <w:szCs w:val="28"/>
                <w:lang w:val="en-US" w:eastAsia="zh-CN"/>
              </w:rPr>
              <w:t>19</w:t>
            </w:r>
          </w:p>
        </w:tc>
        <w:tc>
          <w:tcPr>
            <w:tcW w:w="468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ind w:firstLine="0"/>
              <w:jc w:val="left"/>
              <w:rPr>
                <w:rFonts w:ascii="Times New Roman" w:hAnsi="Times New Roman" w:eastAsia="仿宋"/>
                <w:color w:val="000000"/>
                <w:sz w:val="28"/>
                <w:szCs w:val="28"/>
              </w:rPr>
            </w:pPr>
            <w:r>
              <w:rPr>
                <w:rFonts w:ascii="Times New Roman" w:hAnsi="Times New Roman" w:eastAsia="仿宋"/>
                <w:color w:val="000000"/>
                <w:sz w:val="28"/>
                <w:szCs w:val="28"/>
              </w:rPr>
              <w:t>其他现行法律、行政法规、地方性法规、规章以及国务院、省、市政府作出的规范性文件禁止作为市场主体住所（经营场所）登记的情形。</w:t>
            </w:r>
          </w:p>
        </w:tc>
      </w:tr>
    </w:tbl>
    <w:p>
      <w:pPr>
        <w:spacing w:line="600" w:lineRule="exact"/>
        <w:ind w:firstLine="0"/>
        <w:jc w:val="both"/>
        <w:rPr>
          <w:rFonts w:ascii="仿宋_GB2312" w:hAnsi="仿宋_GB2312" w:eastAsia="仿宋_GB2312" w:cs="仿宋_GB2312"/>
          <w:sz w:val="24"/>
          <w:szCs w:val="28"/>
        </w:rPr>
      </w:pPr>
    </w:p>
    <w:p>
      <w:pPr>
        <w:spacing w:line="600" w:lineRule="exact"/>
        <w:ind w:firstLine="0"/>
        <w:jc w:val="center"/>
        <w:rPr>
          <w:rFonts w:ascii="仿宋_GB2312" w:hAnsi="仿宋_GB2312" w:eastAsia="仿宋_GB2312" w:cs="仿宋_GB2312"/>
          <w:sz w:val="24"/>
          <w:szCs w:val="28"/>
        </w:rPr>
      </w:pPr>
    </w:p>
    <w:p>
      <w:pPr>
        <w:spacing w:line="600" w:lineRule="exact"/>
        <w:ind w:firstLine="0"/>
        <w:jc w:val="center"/>
        <w:rPr>
          <w:rFonts w:ascii="仿宋_GB2312" w:hAnsi="仿宋_GB2312" w:eastAsia="仿宋_GB2312" w:cs="仿宋_GB2312"/>
          <w:sz w:val="24"/>
          <w:szCs w:val="28"/>
        </w:rPr>
      </w:pPr>
    </w:p>
    <w:p>
      <w:pPr>
        <w:spacing w:line="600" w:lineRule="exact"/>
        <w:ind w:firstLine="0"/>
        <w:jc w:val="center"/>
        <w:rPr>
          <w:rFonts w:ascii="仿宋_GB2312" w:hAnsi="仿宋_GB2312" w:eastAsia="仿宋_GB2312" w:cs="仿宋_GB2312"/>
          <w:sz w:val="24"/>
          <w:szCs w:val="28"/>
        </w:rPr>
      </w:pPr>
    </w:p>
    <w:p>
      <w:pPr>
        <w:autoSpaceDE/>
        <w:autoSpaceDN/>
        <w:snapToGrid/>
        <w:spacing w:line="240" w:lineRule="auto"/>
        <w:ind w:firstLine="480" w:firstLineChars="200"/>
        <w:textAlignment w:val="baseline"/>
        <w:rPr>
          <w:rFonts w:ascii="Times New Roman" w:hAnsi="Times New Roman" w:eastAsia="宋体"/>
          <w:snapToGrid/>
          <w:sz w:val="24"/>
          <w:szCs w:val="24"/>
        </w:rPr>
      </w:pPr>
    </w:p>
    <w:p>
      <w:pPr>
        <w:pBdr>
          <w:top w:val="single" w:color="auto" w:sz="4" w:space="0"/>
          <w:bottom w:val="single" w:color="auto" w:sz="4" w:space="0"/>
        </w:pBdr>
        <w:autoSpaceDE/>
        <w:autoSpaceDN/>
        <w:snapToGrid/>
        <w:spacing w:line="240" w:lineRule="auto"/>
        <w:ind w:firstLine="0"/>
        <w:jc w:val="left"/>
        <w:textAlignment w:val="baseline"/>
        <w:rPr>
          <w:w w:val="89"/>
        </w:rPr>
      </w:pPr>
      <w:r>
        <w:rPr>
          <w:rFonts w:hint="default" w:ascii="Times New Roman" w:hAnsi="Times New Roman" w:eastAsia="仿宋_GB2312" w:cs="Times New Roman"/>
          <w:spacing w:val="-14"/>
          <w:w w:val="80"/>
          <w:sz w:val="28"/>
          <w:szCs w:val="28"/>
        </w:rPr>
        <w:t>连云港市赣榆区政府推进政府职能转变和“放管服”改革协调小组办公室</w:t>
      </w:r>
      <w:r>
        <w:rPr>
          <w:rFonts w:hint="eastAsia" w:ascii="Times New Roman" w:hAnsi="Times New Roman"/>
          <w:snapToGrid/>
          <w:sz w:val="28"/>
          <w:szCs w:val="28"/>
          <w:lang w:val="en-US" w:eastAsia="zh-CN"/>
        </w:rPr>
        <w:t xml:space="preserve"> </w:t>
      </w:r>
      <w:r>
        <w:rPr>
          <w:rFonts w:ascii="Times New Roman" w:hAnsi="Times New Roman"/>
          <w:snapToGrid/>
          <w:sz w:val="28"/>
          <w:szCs w:val="28"/>
        </w:rPr>
        <w:t xml:space="preserve"> </w:t>
      </w:r>
      <w:r>
        <w:rPr>
          <w:rFonts w:ascii="Times New Roman" w:hAnsi="Times New Roman"/>
          <w:snapToGrid/>
          <w:w w:val="89"/>
          <w:sz w:val="28"/>
          <w:szCs w:val="28"/>
        </w:rPr>
        <w:t>2022年</w:t>
      </w:r>
      <w:r>
        <w:rPr>
          <w:rFonts w:hint="eastAsia" w:ascii="Times New Roman" w:hAnsi="Times New Roman"/>
          <w:snapToGrid/>
          <w:w w:val="89"/>
          <w:sz w:val="28"/>
          <w:szCs w:val="28"/>
          <w:lang w:val="en-US" w:eastAsia="zh-CN"/>
        </w:rPr>
        <w:t>9</w:t>
      </w:r>
      <w:r>
        <w:rPr>
          <w:rFonts w:ascii="Times New Roman" w:hAnsi="Times New Roman"/>
          <w:snapToGrid/>
          <w:w w:val="89"/>
          <w:sz w:val="28"/>
          <w:szCs w:val="28"/>
        </w:rPr>
        <w:t>月</w:t>
      </w:r>
      <w:r>
        <w:rPr>
          <w:rFonts w:hint="eastAsia" w:ascii="Times New Roman" w:hAnsi="Times New Roman"/>
          <w:snapToGrid/>
          <w:w w:val="89"/>
          <w:sz w:val="28"/>
          <w:szCs w:val="28"/>
          <w:lang w:val="en-US" w:eastAsia="zh-CN"/>
        </w:rPr>
        <w:t>13</w:t>
      </w:r>
      <w:r>
        <w:rPr>
          <w:rFonts w:ascii="Times New Roman" w:hAnsi="Times New Roman"/>
          <w:snapToGrid/>
          <w:w w:val="89"/>
          <w:sz w:val="28"/>
          <w:szCs w:val="28"/>
        </w:rPr>
        <w:t>日印发</w:t>
      </w:r>
    </w:p>
    <w:sectPr>
      <w:footerReference r:id="rId7" w:type="first"/>
      <w:footerReference r:id="rId5" w:type="default"/>
      <w:footerReference r:id="rId6" w:type="even"/>
      <w:pgSz w:w="11907" w:h="16840"/>
      <w:pgMar w:top="1814" w:right="1531" w:bottom="1985"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CV0CUMDwIAABAEAAAOAAAAZHJzL2Uyb0RvYy54bWytU82O0zAQviPx&#10;DpbvNG1ZliVqulq2KkJafqSFB3Adp7GIPdbYbVIeAN6AExfuPFefY8dOUpblsgcu1tie+TzfN58X&#10;l51p2F6h12ALPptMOVNWQqnttuCfP62fXXDmg7ClaMCqgh+U55fLp08WrcvVHGpoSoWMQKzPW1fw&#10;OgSXZ5mXtTLCT8ApS5cVoBGBtrjNShQtoZsmm0+n51kLWDoEqbyn01V/yQdEfAwgVJWWagVyZ5QN&#10;PSqqRgSi5GvtPF+mbqtKyfChqrwKrCk4MQ1ppUco3sQ1Wy5EvkXhai2HFsRjWnjAyQht6dET1EoE&#10;wXao/4EyWiJ4qMJEgsl6IkkRYjGbPtDmthZOJS4ktXcn0f3/g5Xv9x+R6ZKcwJkVhgZ+/PH9+PP3&#10;8dc3NovytM7nlHXrKC90r6GLqZGqdzcgv3hm4boWdquuEKGtlSipvVSZ3SvtcXwE2bTvoKR3xC5A&#10;AuoqNBGQ1GCETqM5nEajusAkHZ7P56+ev+BM0tV8enb2Mo0uE/lY7NCHNwoMi0HBkSafwMX+xgei&#10;QaljSnzLwlo3TZp+Y/86oMT+RCX7DNWRSuy+5xG6TTdIs4HyQKQQemvRx6KgBvzKWUu2KrilX8RZ&#10;89aSLNGBY4BjsBkDYSUVFjxw1ofXoXfqzqHe1oQ7Cn9F0q11ohUb63sgjnFDRklsB1NHJ97fp6w/&#10;H3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lYPIzRAAAAAwEAAA8AAAAAAAAAAQAgAAAAIgAA&#10;AGRycy9kb3ducmV2LnhtbFBLAQIUABQAAAAIAIdO4kCV0CUMDwIAABAEAAAOAAAAAAAAAAEAIAAA&#10;ACABAABkcnMvZTJvRG9jLnhtbFBLBQYAAAAABgAGAFkBAAChBQ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245" w:y="-159"/>
      <w:rPr>
        <w:rFonts w:ascii="Times New Roman" w:hAnsi="Times New Roman" w:eastAsiaTheme="majorEastAsia"/>
        <w:sz w:val="28"/>
        <w:szCs w:val="28"/>
      </w:rPr>
    </w:pPr>
    <w:r>
      <w:rPr>
        <w:rStyle w:val="6"/>
        <w:rFonts w:ascii="Times New Roman" w:hAnsi="Times New Roman" w:eastAsiaTheme="majorEastAsia"/>
        <w:sz w:val="28"/>
        <w:szCs w:val="28"/>
      </w:rPr>
      <w:t xml:space="preserve">— </w:t>
    </w:r>
    <w:r>
      <w:rPr>
        <w:rStyle w:val="6"/>
        <w:rFonts w:ascii="Times New Roman" w:hAnsi="Times New Roman" w:eastAsiaTheme="majorEastAsia"/>
        <w:sz w:val="28"/>
        <w:szCs w:val="28"/>
      </w:rPr>
      <w:fldChar w:fldCharType="begin"/>
    </w:r>
    <w:r>
      <w:rPr>
        <w:rStyle w:val="6"/>
        <w:rFonts w:ascii="Times New Roman" w:hAnsi="Times New Roman" w:eastAsiaTheme="majorEastAsia"/>
        <w:sz w:val="28"/>
        <w:szCs w:val="28"/>
      </w:rPr>
      <w:instrText xml:space="preserve">Page</w:instrText>
    </w:r>
    <w:r>
      <w:rPr>
        <w:rStyle w:val="6"/>
        <w:rFonts w:ascii="Times New Roman" w:hAnsi="Times New Roman" w:eastAsiaTheme="majorEastAsia"/>
        <w:sz w:val="28"/>
        <w:szCs w:val="28"/>
      </w:rPr>
      <w:fldChar w:fldCharType="separate"/>
    </w:r>
    <w:r>
      <w:rPr>
        <w:rStyle w:val="6"/>
        <w:rFonts w:ascii="Times New Roman" w:hAnsi="Times New Roman" w:eastAsiaTheme="majorEastAsia"/>
        <w:sz w:val="28"/>
        <w:szCs w:val="28"/>
      </w:rPr>
      <w:t>4</w:t>
    </w:r>
    <w:r>
      <w:rPr>
        <w:rStyle w:val="6"/>
        <w:rFonts w:ascii="Times New Roman" w:hAnsi="Times New Roman" w:eastAsiaTheme="majorEastAsia"/>
        <w:sz w:val="28"/>
        <w:szCs w:val="28"/>
      </w:rPr>
      <w:fldChar w:fldCharType="end"/>
    </w:r>
    <w:r>
      <w:rPr>
        <w:rStyle w:val="6"/>
        <w:rFonts w:ascii="Times New Roman" w:hAnsi="Times New Roman" w:eastAsiaTheme="majorEastAsia"/>
        <w:sz w:val="28"/>
        <w:szCs w:val="28"/>
      </w:rPr>
      <w:t xml:space="preserve"> —</w:t>
    </w:r>
  </w:p>
  <w:p>
    <w:pPr>
      <w:pStyle w:val="3"/>
      <w:rPr>
        <w:rFonts w:asciiTheme="majorEastAsia" w:hAnsiTheme="majorEastAsia" w:eastAsia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0447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wps:spPr>
                    <wps:txbx>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9.05pt;mso-position-horizontal:outside;mso-position-horizontal-relative:margin;mso-wrap-style:none;z-index:251660288;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By0bflDwIAABAEAAAOAAAAZHJzL2Uyb0RvYy54bWytU82O0zAQviPx&#10;DpbvNG1YFoiarpatipCWH2nhAVzHaSxijzV2mywPAG/AiQt3nqvPwdhJyrJc9sDFGtszn+f75vPy&#10;ojctOyj0GmzJF7M5Z8pKqLTdlfzTx82TF5z5IGwlWrCq5LfK84vV40fLzhUqhwbaSiEjEOuLzpW8&#10;CcEVWeZlo4zwM3DK0mUNaESgLe6yCkVH6KbN8vn8POsAK4cglfd0uh4u+YiIDwGEutZSrUHujbJh&#10;QEXVikCUfKOd56vUbV0rGd7XtVeBtSUnpiGt9AjF27hmq6Uodihco+XYgnhIC/c4GaEtPXqCWosg&#10;2B71P1BGSwQPdZhJMNlAJClCLBbze9rcNMKpxIWk9u4kuv9/sPLd4QMyXZU858wKQwM/fv92/PHr&#10;+PMry6M8nfMFZd04ygv9K+jJNImqd9cgP3tm4aoRdqcuEaFrlKiovUWszO6UDjg+gmy7t1DRO2If&#10;IAH1NZqoHanBCJ1Gc3sajeoDk3R4nucvnz7jTNJVPj87e55Gl4liKnbow2sFhsWg5EiTT+DicO1D&#10;bEYUU0p8y8JGt22afmv/OqDE4UQl+4zVkUrsfuAR+m0/SrOF6pZIIQzWoo9FQQP4hbOObFVyS7+I&#10;s/aNJVmiA6cAp2A7BcJKKix54GwIr8Lg1L1DvWsIdxL+kqTb6EQrNjb0MApORklsR1NHJ97dp6w/&#10;H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lYPIzRAAAAAwEAAA8AAAAAAAAAAQAgAAAAIgAA&#10;AGRycy9kb3ducmV2LnhtbFBLAQIUABQAAAAIAIdO4kBy0bflDwIAABAEAAAOAAAAAAAAAAEAIAAA&#10;ACABAABkcnMvZTJvRG9jLnhtbFBLBQYAAAAABgAGAFkBAAChBQ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MDM2NGNlMGY0YjM0MWY0MzA5MWQwMGFkNjliNjEifQ=="/>
  </w:docVars>
  <w:rsids>
    <w:rsidRoot w:val="00000000"/>
    <w:rsid w:val="03CD0210"/>
    <w:rsid w:val="0ACA6D38"/>
    <w:rsid w:val="149C3F05"/>
    <w:rsid w:val="1A115A06"/>
    <w:rsid w:val="1C31325D"/>
    <w:rsid w:val="1DEB6F60"/>
    <w:rsid w:val="25BA35BD"/>
    <w:rsid w:val="27747057"/>
    <w:rsid w:val="2D6C1EA2"/>
    <w:rsid w:val="372C512F"/>
    <w:rsid w:val="46776DB6"/>
    <w:rsid w:val="4D4A303D"/>
    <w:rsid w:val="4E6A153B"/>
    <w:rsid w:val="5359417B"/>
    <w:rsid w:val="621E70DD"/>
    <w:rsid w:val="669B7EE7"/>
    <w:rsid w:val="6D6F34FA"/>
    <w:rsid w:val="6D7D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Calibri" w:hAnsi="Calibri" w:eastAsia="方正仿宋_GBK" w:cs="Times New Roman"/>
      <w:snapToGrid w:val="0"/>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autoSpaceDE/>
      <w:autoSpaceDN/>
      <w:snapToGrid/>
      <w:spacing w:line="240" w:lineRule="auto"/>
      <w:ind w:left="420" w:leftChars="200" w:firstLine="0"/>
    </w:pPr>
    <w:rPr>
      <w:rFonts w:eastAsia="宋体"/>
      <w:snapToGrid/>
      <w:kern w:val="2"/>
      <w:sz w:val="21"/>
      <w:szCs w:val="22"/>
    </w:rPr>
  </w:style>
  <w:style w:type="paragraph" w:styleId="3">
    <w:name w:val="footer"/>
    <w:basedOn w:val="1"/>
    <w:qFormat/>
    <w:uiPriority w:val="0"/>
    <w:pPr>
      <w:tabs>
        <w:tab w:val="center" w:pos="4153"/>
        <w:tab w:val="right" w:pos="8306"/>
      </w:tabs>
      <w:spacing w:line="240" w:lineRule="atLeast"/>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3396</Words>
  <Characters>3434</Characters>
  <Lines>0</Lines>
  <Paragraphs>0</Paragraphs>
  <TotalTime>14</TotalTime>
  <ScaleCrop>false</ScaleCrop>
  <LinksUpToDate>false</LinksUpToDate>
  <CharactersWithSpaces>3448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2022-08-03T08:24:00Z</dcterms:created>
  <dc:creator>wang</dc:creator>
  <cp:lastModifiedBy>OxOhp</cp:lastModifiedBy>
  <cp:lastPrinted>2022-09-13T07:27:00Z</cp:lastPrinted>
  <dcterms:modified xsi:type="dcterms:W3CDTF">2022-09-14T09:09:07Z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9A1E3D9D852147F29D2274BCC4D0D75A</vt:lpwstr>
  </property>
</Properties>
</file>