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赣榆区班庄镇人民政府</w:t>
      </w:r>
      <w:r>
        <w:rPr>
          <w:rFonts w:ascii="Times New Roman" w:hAnsi="Times New Roman" w:eastAsia="方正小标宋简体" w:cs="Times New Roman"/>
          <w:sz w:val="44"/>
          <w:szCs w:val="44"/>
        </w:rPr>
        <w:t>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年度报告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</w:t>
      </w: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2023年以来，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  <w:lang w:eastAsia="zh-CN"/>
        </w:rPr>
        <w:t>班庄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镇政府信息公开工作在赣榆区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  <w:lang w:eastAsia="zh-CN"/>
        </w:rPr>
        <w:t>人民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政府的精心指导下，认真贯彻落实《中华人民共和国政府信息公开条例》，扎实有序推进政务公开工作落实。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  <w:lang w:eastAsia="zh-CN"/>
        </w:rPr>
        <w:t>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将我镇2023年政府信息公开工作有关情况报告如下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本报告中所列数据的统计期限为2023年1月1日至2023年12月31日。如对本报告有任何疑问，请与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班庄镇党政办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联系（地址：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赣榆区班庄镇圣泉街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66号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；电话：0518-8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6511006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420"/>
        <w:jc w:val="left"/>
        <w:textAlignment w:val="auto"/>
        <w:rPr>
          <w:rFonts w:ascii="Times New Roman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黑体" w:eastAsia="黑体" w:cs="Times New Roman"/>
          <w:kern w:val="2"/>
          <w:sz w:val="32"/>
          <w:szCs w:val="32"/>
          <w:lang w:val="en-US" w:eastAsia="zh-CN" w:bidi="ar-SA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按照《条例》规定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，2023年我镇主动公开政府信息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条。公开的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政务信息内容主要有以下几种类型：（1）机构职能类信息；（2）政策、规范性文件类信息；（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）行政许可类信息；（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）安全生产、应急管理类信息。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信息公开的形式：一是网站公开。二是在政务信息公开专栏上公开。通过政务公开栏将政务信息对内、对外公开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  <w:lang w:eastAsia="zh-CN"/>
        </w:rPr>
        <w:t>。</w:t>
      </w:r>
    </w:p>
    <w:tbl>
      <w:tblPr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0"/>
        <w:gridCol w:w="1891"/>
        <w:gridCol w:w="997"/>
        <w:gridCol w:w="2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信息内容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本年制发件数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本年废止件数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规章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　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行政规范性文件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　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信息内容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行政许可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信息内容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行政处罚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行政强制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信息内容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行政事业性收费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收到和处理政府信息公开申请情况</w:t>
      </w:r>
    </w:p>
    <w:tbl>
      <w:tblPr>
        <w:tblW w:w="9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350"/>
        <w:gridCol w:w="876"/>
        <w:gridCol w:w="878"/>
        <w:gridCol w:w="872"/>
        <w:gridCol w:w="874"/>
        <w:gridCol w:w="879"/>
        <w:gridCol w:w="877"/>
        <w:gridCol w:w="873"/>
        <w:gridCol w:w="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（本列数据的勾稽关系为：第一项加第二项之和，等于第三项加第四项之和）</w:t>
            </w:r>
          </w:p>
        </w:tc>
        <w:tc>
          <w:tcPr>
            <w:tcW w:w="5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自然人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96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科研机构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社会公益组织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一、本年新收政府信息公开申请数量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二、上年结转政府信息公开申请数量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三、本年度办理结果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（一）予以公开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（二）部分公开（区分处理的，只计这一情形，不计其他情形）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（三）不予公开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1.属于国家秘密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2.其他法律行政法规禁止公开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3.危及“三安全一稳定”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4.保护第三方合法权益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5.属于三类内部事务信息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6.属于四类过程性信息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7.属于行政执法案卷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8.属于行政查询事项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（四）无法提供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1.本机关不掌握相关政府信息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2.没有现成信息需要另行制作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3.补正后申请内容仍不明确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（五）不予处理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1.信访举报投诉类申请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2.重复申请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3.要求提供公开出版物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4.无正当理由大量反复申请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5.要求行政机关确认或重新出具已获取信息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（六）其他处理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1.申请人无正当理由逾期不补正、行政机关不再处理其政府信息公开申请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2.申请人逾期未按收费通知要求缴纳费用、行政机关不再处理其政府信息公开申请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3.其他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（七）总计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四、结转下年度继续办理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55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sectPr>
          <w:footerReference r:id="rId3" w:type="default"/>
          <w:pgSz w:w="11906" w:h="16838"/>
          <w:pgMar w:top="1474" w:right="1588" w:bottom="964" w:left="1588" w:header="851" w:footer="1304" w:gutter="0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政府信息公开行政复议、行政诉讼情况</w:t>
      </w:r>
    </w:p>
    <w:tbl>
      <w:tblPr>
        <w:tblW w:w="13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750"/>
        <w:gridCol w:w="120"/>
        <w:gridCol w:w="870"/>
        <w:gridCol w:w="87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行政复议</w:t>
            </w:r>
          </w:p>
        </w:tc>
        <w:tc>
          <w:tcPr>
            <w:tcW w:w="8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结果维持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结果纠正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其他结果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尚未审结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总计</w:t>
            </w:r>
          </w:p>
        </w:tc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未经复议直接起诉</w:t>
            </w:r>
          </w:p>
        </w:tc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结果维持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结果纠正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其他结果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尚未审结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总计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结果维持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结果纠正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其他结果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尚未审结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sectPr>
          <w:pgSz w:w="16838" w:h="11906" w:orient="landscape"/>
          <w:pgMar w:top="1588" w:right="1474" w:bottom="1588" w:left="964" w:header="851" w:footer="1304" w:gutter="0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2023年，我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信息公开工作取得一定成效，但仍然存在以下不足：一是信息公开标准目录与日常工作的融合有待进一步提升，二政务公开广度深度有待进一步挖掘。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2024年，我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将从以下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方面着力进行改进完善：一是继续扎实推进政务公开标准化规范化工作，围绕规范政务公开工作流程及基层政务公开事项目录，调整完善固化政务公开相关栏目，进一步提升公开标准化规范化水平。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是继续加强政务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系统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管理。严格落实省市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有关政务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系统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的各项要求，强化日常管理，加强日常检查，提升政务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系统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运行水平。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本年度没有发生收取信息处理费的情况。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74" w:right="1588" w:bottom="964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ZjZjYzEyMjE5MmNhOTI0NDUyZjQ2ZjY2NDcyNTAifQ=="/>
  </w:docVars>
  <w:rsids>
    <w:rsidRoot w:val="76027D00"/>
    <w:rsid w:val="7602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2024-01-25T08:44:00Z</dcterms:created>
  <dc:creator>大脸猫</dc:creator>
  <cp:lastModifiedBy>大脸猫</cp:lastModifiedBy>
  <dcterms:modified xsi:type="dcterms:W3CDTF">2024-01-25T09:17:48Z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BF65631569454BC19A1ADE7C1FCA5985_11</vt:lpwstr>
  </property>
</Properties>
</file>