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cs="Times New Roman"/>
          <w:sz w:val="32"/>
          <w:szCs w:val="32"/>
          <w:lang w:val="en-US" w:eastAsia="zh-CN"/>
        </w:rPr>
        <w:t>厉政</w:t>
      </w:r>
      <w:r>
        <w:rPr>
          <w:rFonts w:hint="eastAsia" w:cs="Times New Roman"/>
          <w:sz w:val="32"/>
          <w:szCs w:val="32"/>
          <w:lang w:eastAsia="zh-CN"/>
        </w:rPr>
        <w:t>发</w:t>
      </w:r>
      <w:r>
        <w:rPr>
          <w:rFonts w:hint="default" w:ascii="Times New Roman" w:hAnsi="Times New Roman" w:eastAsia="仿宋_GB2312" w:cs="Times New Roman"/>
          <w:sz w:val="32"/>
          <w:szCs w:val="32"/>
        </w:rPr>
        <w:t>〔2024〕</w:t>
      </w:r>
      <w:r>
        <w:rPr>
          <w:rFonts w:hint="eastAsia" w:cs="Times New Roman"/>
          <w:sz w:val="32"/>
          <w:szCs w:val="32"/>
          <w:lang w:val="en-US" w:eastAsia="zh-CN"/>
        </w:rPr>
        <w:t>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厉庄镇</w:t>
      </w:r>
      <w:r>
        <w:rPr>
          <w:rFonts w:hint="eastAsia" w:ascii="方正小标宋_GBK" w:hAnsi="方正小标宋_GBK" w:eastAsia="方正小标宋_GBK" w:cs="方正小标宋_GBK"/>
          <w:sz w:val="44"/>
          <w:szCs w:val="44"/>
        </w:rPr>
        <w:t>消防安全集中除患攻坚</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大整治行动方案》的通知</w:t>
      </w:r>
    </w:p>
    <w:p>
      <w:pPr>
        <w:adjustRightInd w:val="0"/>
        <w:snapToGrid w:val="0"/>
        <w:spacing w:line="580" w:lineRule="exact"/>
        <w:ind w:firstLine="632" w:firstLineChars="200"/>
        <w:rPr>
          <w:rFonts w:eastAsia="方正仿宋_GB2312"/>
        </w:rPr>
      </w:pPr>
      <w:bookmarkStart w:id="0" w:name="_GoBack"/>
      <w:bookmarkEnd w:id="0"/>
    </w:p>
    <w:p>
      <w:pPr>
        <w:keepNext w:val="0"/>
        <w:keepLines w:val="0"/>
        <w:pageBreakBefore w:val="0"/>
        <w:widowControl w:val="0"/>
        <w:kinsoku/>
        <w:wordWrap/>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各</w:t>
      </w:r>
      <w:r>
        <w:rPr>
          <w:rFonts w:hint="eastAsia" w:cs="Times New Roman"/>
          <w:color w:val="000000"/>
          <w:kern w:val="0"/>
          <w:sz w:val="32"/>
          <w:szCs w:val="32"/>
          <w:lang w:val="en-US" w:eastAsia="zh-CN"/>
        </w:rPr>
        <w:t>村</w:t>
      </w:r>
      <w:r>
        <w:rPr>
          <w:rFonts w:hint="eastAsia" w:cs="Times New Roman"/>
          <w:color w:val="000000"/>
          <w:kern w:val="0"/>
          <w:sz w:val="32"/>
          <w:szCs w:val="32"/>
          <w:lang w:eastAsia="zh-CN"/>
        </w:rPr>
        <w:t>、</w:t>
      </w:r>
      <w:r>
        <w:rPr>
          <w:rFonts w:hint="eastAsia" w:cs="Times New Roman"/>
          <w:color w:val="000000"/>
          <w:kern w:val="0"/>
          <w:sz w:val="32"/>
          <w:szCs w:val="32"/>
          <w:lang w:val="en-US" w:eastAsia="zh-CN"/>
        </w:rPr>
        <w:t>各单位</w:t>
      </w:r>
      <w:r>
        <w:rPr>
          <w:rFonts w:hint="default" w:ascii="Times New Roman" w:hAnsi="Times New Roman" w:eastAsia="仿宋_GB2312" w:cs="Times New Roman"/>
          <w:sz w:val="32"/>
          <w:szCs w:val="32"/>
        </w:rPr>
        <w:t>：</w:t>
      </w:r>
    </w:p>
    <w:p>
      <w:pPr>
        <w:keepNext w:val="0"/>
        <w:keepLines w:val="0"/>
        <w:pageBreakBefore w:val="0"/>
        <w:widowControl w:val="0"/>
        <w:kinsoku/>
        <w:wordWrap/>
        <w:bidi w:val="0"/>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color w:val="000000"/>
          <w:sz w:val="32"/>
          <w:szCs w:val="32"/>
        </w:rPr>
        <w:t>认真贯彻落实习近平总书记重要指示精神和中央领导同志批示要求，按照工作部署，</w:t>
      </w:r>
      <w:r>
        <w:rPr>
          <w:rFonts w:hint="eastAsia" w:cs="Times New Roman"/>
          <w:color w:val="000000"/>
          <w:sz w:val="32"/>
          <w:szCs w:val="32"/>
          <w:lang w:eastAsia="zh-CN"/>
        </w:rPr>
        <w:t>厉庄镇</w:t>
      </w:r>
      <w:r>
        <w:rPr>
          <w:rFonts w:hint="default" w:ascii="Times New Roman" w:hAnsi="Times New Roman" w:eastAsia="仿宋_GB2312" w:cs="Times New Roman"/>
          <w:color w:val="000000"/>
          <w:sz w:val="32"/>
          <w:szCs w:val="32"/>
        </w:rPr>
        <w:t>制定了《</w:t>
      </w:r>
      <w:r>
        <w:rPr>
          <w:rFonts w:hint="eastAsia" w:cs="Times New Roman"/>
          <w:color w:val="000000"/>
          <w:sz w:val="32"/>
          <w:szCs w:val="32"/>
          <w:lang w:val="en-US" w:eastAsia="zh-CN"/>
        </w:rPr>
        <w:t>厉庄镇</w:t>
      </w:r>
      <w:r>
        <w:rPr>
          <w:rFonts w:hint="default" w:ascii="Times New Roman" w:hAnsi="Times New Roman" w:eastAsia="仿宋_GB2312" w:cs="Times New Roman"/>
          <w:color w:val="000000"/>
          <w:sz w:val="32"/>
          <w:szCs w:val="32"/>
        </w:rPr>
        <w:t>消防安全集中除患攻坚大整治行动方案》，</w:t>
      </w:r>
      <w:r>
        <w:rPr>
          <w:rFonts w:hint="default" w:ascii="Times New Roman" w:hAnsi="Times New Roman" w:eastAsia="仿宋_GB2312" w:cs="Times New Roman"/>
          <w:sz w:val="32"/>
          <w:szCs w:val="32"/>
        </w:rPr>
        <w:t>现印发给你们，请结合实际，认真抓好贯彻落实。</w:t>
      </w:r>
    </w:p>
    <w:p>
      <w:pPr>
        <w:keepNext w:val="0"/>
        <w:keepLines w:val="0"/>
        <w:pageBreakBefore w:val="0"/>
        <w:widowControl w:val="0"/>
        <w:kinsoku/>
        <w:wordWrap/>
        <w:bidi w:val="0"/>
        <w:spacing w:line="560" w:lineRule="exact"/>
        <w:ind w:firstLine="63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bidi w:val="0"/>
        <w:adjustRightInd w:val="0"/>
        <w:snapToGrid w:val="0"/>
        <w:spacing w:line="560" w:lineRule="exact"/>
        <w:ind w:firstLine="632" w:firstLineChars="200"/>
        <w:jc w:val="right"/>
        <w:textAlignment w:val="auto"/>
        <w:rPr>
          <w:rFonts w:hint="default" w:ascii="Times New Roman" w:hAnsi="Times New Roman" w:eastAsia="仿宋_GB2312" w:cs="Times New Roman"/>
          <w:sz w:val="32"/>
          <w:szCs w:val="32"/>
        </w:rPr>
      </w:pPr>
      <w:r>
        <w:rPr>
          <w:rFonts w:hint="eastAsia" w:cs="Times New Roman"/>
          <w:color w:val="000000"/>
          <w:spacing w:val="0"/>
          <w:kern w:val="0"/>
          <w:sz w:val="32"/>
          <w:szCs w:val="32"/>
          <w:lang w:val="en-US" w:eastAsia="zh-CN"/>
        </w:rPr>
        <w:t xml:space="preserve">厉庄镇人民政府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bidi w:val="0"/>
        <w:adjustRightInd w:val="0"/>
        <w:snapToGrid w:val="0"/>
        <w:spacing w:line="560" w:lineRule="exact"/>
        <w:ind w:firstLine="632"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cs="Times New Roman"/>
          <w:sz w:val="32"/>
          <w:szCs w:val="32"/>
          <w:lang w:val="en-US" w:eastAsia="zh-CN"/>
        </w:rPr>
        <w:t>5</w:t>
      </w:r>
      <w:r>
        <w:rPr>
          <w:rFonts w:hint="default" w:ascii="Times New Roman" w:hAnsi="Times New Roman" w:eastAsia="仿宋_GB2312" w:cs="Times New Roman"/>
          <w:sz w:val="32"/>
          <w:szCs w:val="32"/>
        </w:rPr>
        <w:t>日</w:t>
      </w:r>
    </w:p>
    <w:p>
      <w:pPr>
        <w:keepNext w:val="0"/>
        <w:keepLines w:val="0"/>
        <w:pageBreakBefore w:val="0"/>
        <w:widowControl w:val="0"/>
        <w:kinsoku/>
        <w:wordWrap/>
        <w:bidi w:val="0"/>
        <w:spacing w:line="560" w:lineRule="exact"/>
        <w:jc w:val="center"/>
        <w:textAlignment w:val="auto"/>
        <w:rPr>
          <w:rFonts w:hint="eastAsia" w:ascii="仿宋_GB2312" w:hAnsi="仿宋_GB2312" w:eastAsia="仿宋_GB2312" w:cs="仿宋_GB2312"/>
          <w:sz w:val="32"/>
          <w:szCs w:val="32"/>
        </w:rPr>
        <w:sectPr>
          <w:footerReference r:id="rId3" w:type="default"/>
          <w:pgSz w:w="11906" w:h="16838"/>
          <w:pgMar w:top="2098" w:right="1474" w:bottom="1985" w:left="1588" w:header="851" w:footer="992" w:gutter="0"/>
          <w:cols w:space="720" w:num="1"/>
          <w:docGrid w:type="linesAndChars" w:linePitch="579" w:charSpace="-849"/>
        </w:sectPr>
      </w:pPr>
    </w:p>
    <w:p>
      <w:pPr>
        <w:spacing w:line="590" w:lineRule="exact"/>
        <w:jc w:val="center"/>
        <w:rPr>
          <w:rFonts w:hint="eastAsia" w:ascii="方正黑体_GBK" w:eastAsia="方正黑体_GBK"/>
          <w:bCs/>
          <w:spacing w:val="-10"/>
          <w:szCs w:val="44"/>
        </w:rPr>
      </w:pPr>
    </w:p>
    <w:p>
      <w:pPr>
        <w:spacing w:line="590" w:lineRule="exact"/>
        <w:jc w:val="center"/>
        <w:rPr>
          <w:rFonts w:hint="eastAsia" w:eastAsia="方正仿宋_GBK"/>
          <w:spacing w:val="-20"/>
          <w:sz w:val="44"/>
          <w:szCs w:val="44"/>
        </w:rPr>
      </w:pPr>
      <w:r>
        <w:rPr>
          <w:rFonts w:hint="eastAsia" w:ascii="方正小标宋_GBK" w:hAnsi="方正小标宋_GBK" w:eastAsia="方正小标宋_GBK" w:cs="方正小标宋_GBK"/>
          <w:sz w:val="44"/>
          <w:szCs w:val="44"/>
          <w:lang w:val="en-US" w:eastAsia="zh-CN"/>
        </w:rPr>
        <w:t>厉庄镇</w:t>
      </w:r>
      <w:r>
        <w:rPr>
          <w:rFonts w:hint="eastAsia" w:ascii="方正小标宋_GBK" w:hAnsi="方正小标宋_GBK" w:eastAsia="方正小标宋_GBK" w:cs="方正小标宋_GBK"/>
          <w:sz w:val="44"/>
          <w:szCs w:val="44"/>
        </w:rPr>
        <w:t>消防安全集中除患攻坚大整治行动方案</w:t>
      </w:r>
    </w:p>
    <w:p>
      <w:pPr>
        <w:spacing w:line="590" w:lineRule="exact"/>
        <w:ind w:firstLine="640"/>
        <w:rPr>
          <w:rFonts w:hint="eastAsia" w:eastAsia="方正仿宋_GBK"/>
        </w:rPr>
      </w:pPr>
    </w:p>
    <w:p>
      <w:pPr>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_GB2312" w:cs="Times New Roman"/>
        </w:rPr>
      </w:pPr>
      <w:r>
        <w:rPr>
          <w:rFonts w:hint="default" w:ascii="Times New Roman" w:hAnsi="Times New Roman" w:eastAsia="仿宋_GB2312" w:cs="Times New Roman"/>
        </w:rPr>
        <w:t>2024年1月24日，江西省新余市一临街店铺发生特别重大火灾事故，造成39人死亡、9人受伤。1月19日，河南省南阳市方城县独树镇英才学校宿舍楼发生重大火灾事故，造成13名儿童死亡、1名儿童受伤。一周之内，连续发生重大和特别重大火灾事故，暴露出的问题教训极为深刻。为认真贯彻落实习近平总书记重要指示精神和中央领导同志批示要求，按照全国安全生产电视电话会议部署，深化落实</w:t>
      </w:r>
      <w:r>
        <w:rPr>
          <w:rFonts w:hint="default" w:ascii="Times New Roman" w:hAnsi="Times New Roman" w:eastAsia="仿宋_GB2312" w:cs="Times New Roman"/>
          <w:color w:val="000000"/>
        </w:rPr>
        <w:t>省安委办、省消委办</w:t>
      </w:r>
      <w:r>
        <w:rPr>
          <w:rFonts w:hint="default" w:ascii="Times New Roman" w:hAnsi="Times New Roman" w:eastAsia="仿宋_GB2312" w:cs="Times New Roman"/>
        </w:rPr>
        <w:t>部署的消防安全集中除患攻坚大整治行动要求，坚决彻底整治重点场所突出风险隐患，坚决防范和遏制群死群伤火灾事故发生，结合</w:t>
      </w:r>
      <w:r>
        <w:rPr>
          <w:rFonts w:hint="default" w:ascii="Times New Roman" w:hAnsi="Times New Roman" w:eastAsia="仿宋_GB2312" w:cs="Times New Roman"/>
          <w:lang w:val="en-US" w:eastAsia="zh-CN"/>
        </w:rPr>
        <w:t>区</w:t>
      </w:r>
      <w:r>
        <w:rPr>
          <w:rFonts w:hint="default" w:ascii="Times New Roman" w:hAnsi="Times New Roman" w:eastAsia="仿宋_GB2312" w:cs="Times New Roman"/>
        </w:rPr>
        <w:t>委、</w:t>
      </w:r>
      <w:r>
        <w:rPr>
          <w:rFonts w:hint="default" w:ascii="Times New Roman" w:hAnsi="Times New Roman" w:eastAsia="仿宋_GB2312" w:cs="Times New Roman"/>
          <w:lang w:val="en-US" w:eastAsia="zh-CN"/>
        </w:rPr>
        <w:t>区</w:t>
      </w:r>
      <w:r>
        <w:rPr>
          <w:rFonts w:hint="default" w:ascii="Times New Roman" w:hAnsi="Times New Roman" w:eastAsia="仿宋_GB2312" w:cs="Times New Roman"/>
        </w:rPr>
        <w:t>政府工作部署要求，</w:t>
      </w:r>
      <w:r>
        <w:rPr>
          <w:rFonts w:hint="eastAsia" w:cs="Times New Roman"/>
          <w:lang w:val="en-US" w:eastAsia="zh-CN"/>
        </w:rPr>
        <w:t>厉庄镇</w:t>
      </w:r>
      <w:r>
        <w:rPr>
          <w:rFonts w:hint="default" w:ascii="Times New Roman" w:hAnsi="Times New Roman" w:eastAsia="仿宋_GB2312" w:cs="Times New Roman"/>
        </w:rPr>
        <w:t>决定从即日起至3月底，在</w:t>
      </w:r>
      <w:r>
        <w:rPr>
          <w:rFonts w:hint="eastAsia" w:cs="Times New Roman"/>
          <w:lang w:eastAsia="zh-CN"/>
        </w:rPr>
        <w:t>全镇</w:t>
      </w:r>
      <w:r>
        <w:rPr>
          <w:rFonts w:hint="default" w:ascii="Times New Roman" w:hAnsi="Times New Roman" w:eastAsia="仿宋_GB2312" w:cs="Times New Roman"/>
        </w:rPr>
        <w:t>组织开展消防安全集中除患攻坚大整治行动。具体方案如下：</w:t>
      </w:r>
    </w:p>
    <w:p>
      <w:pPr>
        <w:keepNext w:val="0"/>
        <w:keepLines w:val="0"/>
        <w:pageBreakBefore w:val="0"/>
        <w:widowControl w:val="0"/>
        <w:kinsoku/>
        <w:wordWrap/>
        <w:overflowPunct/>
        <w:topLinePunct w:val="0"/>
        <w:bidi w:val="0"/>
        <w:spacing w:line="560" w:lineRule="exact"/>
        <w:ind w:firstLine="640"/>
        <w:textAlignment w:val="auto"/>
        <w:rPr>
          <w:rFonts w:hint="eastAsia" w:ascii="黑体" w:hAnsi="黑体" w:eastAsia="黑体" w:cs="黑体"/>
        </w:rPr>
      </w:pPr>
      <w:r>
        <w:rPr>
          <w:rFonts w:hint="eastAsia" w:ascii="黑体" w:hAnsi="黑体" w:eastAsia="黑体" w:cs="黑体"/>
        </w:rPr>
        <w:t>一、目标任务</w:t>
      </w:r>
    </w:p>
    <w:p>
      <w:pPr>
        <w:keepNext w:val="0"/>
        <w:keepLines w:val="0"/>
        <w:pageBreakBefore w:val="0"/>
        <w:widowControl w:val="0"/>
        <w:kinsoku/>
        <w:wordWrap/>
        <w:overflowPunct/>
        <w:topLinePunct w:val="0"/>
        <w:bidi w:val="0"/>
        <w:snapToGrid w:val="0"/>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以习近平新时代中国特色社会主义思想为指导，坚持</w:t>
      </w:r>
      <w:r>
        <w:rPr>
          <w:rFonts w:hint="eastAsia" w:cs="Times New Roman"/>
          <w:lang w:eastAsia="zh-CN"/>
        </w:rPr>
        <w:t>“</w:t>
      </w:r>
      <w:r>
        <w:rPr>
          <w:rFonts w:hint="default" w:ascii="Times New Roman" w:hAnsi="Times New Roman" w:eastAsia="仿宋_GB2312" w:cs="Times New Roman"/>
        </w:rPr>
        <w:t>两个至上</w:t>
      </w:r>
      <w:r>
        <w:rPr>
          <w:rFonts w:hint="eastAsia" w:cs="Times New Roman"/>
          <w:lang w:eastAsia="zh-CN"/>
        </w:rPr>
        <w:t>”</w:t>
      </w:r>
      <w:r>
        <w:rPr>
          <w:rFonts w:hint="default" w:ascii="Times New Roman" w:hAnsi="Times New Roman" w:eastAsia="仿宋_GB2312" w:cs="Times New Roman"/>
        </w:rPr>
        <w:t>、立足</w:t>
      </w:r>
      <w:r>
        <w:rPr>
          <w:rFonts w:hint="eastAsia" w:cs="Times New Roman"/>
          <w:lang w:eastAsia="zh-CN"/>
        </w:rPr>
        <w:t>“</w:t>
      </w:r>
      <w:r>
        <w:rPr>
          <w:rFonts w:hint="default" w:ascii="Times New Roman" w:hAnsi="Times New Roman" w:eastAsia="仿宋_GB2312" w:cs="Times New Roman"/>
        </w:rPr>
        <w:t>两个根本</w:t>
      </w:r>
      <w:r>
        <w:rPr>
          <w:rFonts w:hint="eastAsia" w:cs="Times New Roman"/>
          <w:lang w:eastAsia="zh-CN"/>
        </w:rPr>
        <w:t>”</w:t>
      </w:r>
      <w:r>
        <w:rPr>
          <w:rFonts w:hint="default" w:ascii="Times New Roman" w:hAnsi="Times New Roman" w:eastAsia="仿宋_GB2312" w:cs="Times New Roman"/>
        </w:rPr>
        <w:t>，紧盯重点领域、聚焦关键环节，精准发力、重拳除患，多措并举、综合施策，切实提高消防安全重大风险隐患排查整改质量，切实提高发现问题和解决问题的强烈意愿和能力水平，全力防范化解重大安全风险。结合</w:t>
      </w:r>
      <w:r>
        <w:rPr>
          <w:rFonts w:hint="eastAsia" w:cs="Times New Roman"/>
          <w:lang w:eastAsia="zh-CN"/>
        </w:rPr>
        <w:t>“</w:t>
      </w:r>
      <w:r>
        <w:rPr>
          <w:rFonts w:hint="default" w:ascii="Times New Roman" w:hAnsi="Times New Roman" w:eastAsia="仿宋_GB2312" w:cs="Times New Roman"/>
        </w:rPr>
        <w:t>生命至上，隐患必除</w:t>
      </w:r>
      <w:r>
        <w:rPr>
          <w:rFonts w:hint="eastAsia" w:cs="Times New Roman"/>
          <w:lang w:eastAsia="zh-CN"/>
        </w:rPr>
        <w:t>”</w:t>
      </w:r>
      <w:r>
        <w:rPr>
          <w:rFonts w:hint="default" w:ascii="Times New Roman" w:hAnsi="Times New Roman" w:eastAsia="仿宋_GB2312" w:cs="Times New Roman"/>
        </w:rPr>
        <w:t>消防安全专项行动，通过开展集中大排查、大整治、大曝光、大演练、大约谈、大督导等</w:t>
      </w:r>
      <w:r>
        <w:rPr>
          <w:rFonts w:hint="eastAsia" w:cs="Times New Roman"/>
          <w:lang w:eastAsia="zh-CN"/>
        </w:rPr>
        <w:t>“</w:t>
      </w:r>
      <w:r>
        <w:rPr>
          <w:rFonts w:hint="default" w:ascii="Times New Roman" w:hAnsi="Times New Roman" w:eastAsia="仿宋_GB2312" w:cs="Times New Roman"/>
        </w:rPr>
        <w:t>六个集中行动</w:t>
      </w:r>
      <w:r>
        <w:rPr>
          <w:rFonts w:hint="eastAsia" w:cs="Times New Roman"/>
          <w:lang w:eastAsia="zh-CN"/>
        </w:rPr>
        <w:t>”</w:t>
      </w:r>
      <w:r>
        <w:rPr>
          <w:rFonts w:hint="default" w:ascii="Times New Roman" w:hAnsi="Times New Roman" w:eastAsia="仿宋_GB2312" w:cs="Times New Roman"/>
        </w:rPr>
        <w:t>，全面排查</w:t>
      </w:r>
      <w:r>
        <w:rPr>
          <w:rFonts w:hint="eastAsia" w:cs="Times New Roman"/>
          <w:lang w:eastAsia="zh-CN"/>
        </w:rPr>
        <w:t>“</w:t>
      </w:r>
      <w:r>
        <w:rPr>
          <w:rFonts w:hint="default" w:ascii="Times New Roman" w:hAnsi="Times New Roman" w:eastAsia="仿宋_GB2312" w:cs="Times New Roman"/>
        </w:rPr>
        <w:t>九小场所</w:t>
      </w:r>
      <w:r>
        <w:rPr>
          <w:rFonts w:hint="eastAsia" w:cs="Times New Roman"/>
          <w:lang w:eastAsia="zh-CN"/>
        </w:rPr>
        <w:t>”</w:t>
      </w:r>
      <w:r>
        <w:rPr>
          <w:rFonts w:hint="default" w:ascii="Times New Roman" w:hAnsi="Times New Roman" w:eastAsia="仿宋_GB2312" w:cs="Times New Roman"/>
        </w:rPr>
        <w:t>、多业态混合生产经营场所、老旧市场等人员密集场所突出风险隐患，严格落实重点整治要求，切实将压力传递到基层单元，传导到社会末梢，推动压实最末端火灾防范责任，坚决遏制群死群伤火灾事故发生。</w:t>
      </w:r>
    </w:p>
    <w:p>
      <w:pPr>
        <w:keepNext w:val="0"/>
        <w:keepLines w:val="0"/>
        <w:pageBreakBefore w:val="0"/>
        <w:widowControl w:val="0"/>
        <w:kinsoku/>
        <w:wordWrap/>
        <w:overflowPunct/>
        <w:topLinePunct w:val="0"/>
        <w:bidi w:val="0"/>
        <w:spacing w:line="560" w:lineRule="exact"/>
        <w:ind w:firstLine="641"/>
        <w:textAlignment w:val="auto"/>
        <w:rPr>
          <w:rFonts w:hint="eastAsia" w:ascii="黑体" w:hAnsi="黑体" w:eastAsia="黑体" w:cs="黑体"/>
        </w:rPr>
      </w:pPr>
      <w:r>
        <w:rPr>
          <w:rFonts w:hint="eastAsia" w:ascii="黑体" w:hAnsi="黑体" w:eastAsia="黑体" w:cs="黑体"/>
        </w:rPr>
        <w:t>二、重点范围</w:t>
      </w:r>
    </w:p>
    <w:p>
      <w:pPr>
        <w:keepNext w:val="0"/>
        <w:keepLines w:val="0"/>
        <w:pageBreakBefore w:val="0"/>
        <w:widowControl w:val="0"/>
        <w:kinsoku/>
        <w:wordWrap/>
        <w:overflowPunct/>
        <w:topLinePunct w:val="0"/>
        <w:bidi w:val="0"/>
        <w:spacing w:line="560" w:lineRule="exact"/>
        <w:ind w:firstLine="641"/>
        <w:textAlignment w:val="auto"/>
        <w:rPr>
          <w:rFonts w:hint="default" w:ascii="Times New Roman" w:hAnsi="Times New Roman" w:eastAsia="仿宋_GB2312" w:cs="Times New Roman"/>
        </w:rPr>
      </w:pPr>
      <w:r>
        <w:rPr>
          <w:rFonts w:hint="eastAsia" w:ascii="楷体" w:hAnsi="楷体" w:eastAsia="楷体" w:cs="楷体"/>
        </w:rPr>
        <w:t>（一）</w:t>
      </w:r>
      <w:r>
        <w:rPr>
          <w:rFonts w:hint="eastAsia" w:ascii="楷体" w:hAnsi="楷体" w:eastAsia="楷体" w:cs="楷体"/>
          <w:szCs w:val="24"/>
          <w:lang w:eastAsia="zh-CN"/>
        </w:rPr>
        <w:t>“</w:t>
      </w:r>
      <w:r>
        <w:rPr>
          <w:rFonts w:hint="eastAsia" w:ascii="楷体" w:hAnsi="楷体" w:eastAsia="楷体" w:cs="楷体"/>
        </w:rPr>
        <w:t>九小场所</w:t>
      </w:r>
      <w:r>
        <w:rPr>
          <w:rFonts w:hint="eastAsia" w:ascii="楷体" w:hAnsi="楷体" w:eastAsia="楷体" w:cs="楷体"/>
          <w:szCs w:val="24"/>
          <w:lang w:eastAsia="zh-CN"/>
        </w:rPr>
        <w:t>”</w:t>
      </w:r>
      <w:r>
        <w:rPr>
          <w:rFonts w:hint="eastAsia" w:ascii="楷体" w:hAnsi="楷体" w:eastAsia="楷体" w:cs="楷体"/>
        </w:rPr>
        <w:t>。</w:t>
      </w:r>
      <w:r>
        <w:rPr>
          <w:rFonts w:hint="default" w:ascii="Times New Roman" w:hAnsi="Times New Roman" w:eastAsia="仿宋_GB2312" w:cs="Times New Roman"/>
        </w:rPr>
        <w:t>包括小商店、</w:t>
      </w:r>
      <w:r>
        <w:rPr>
          <w:rFonts w:hint="default" w:ascii="Times New Roman" w:hAnsi="Times New Roman" w:eastAsia="仿宋_GB2312" w:cs="Times New Roman"/>
          <w:color w:val="00000A"/>
        </w:rPr>
        <w:t>小市场、</w:t>
      </w:r>
      <w:r>
        <w:rPr>
          <w:rFonts w:hint="default" w:ascii="Times New Roman" w:hAnsi="Times New Roman" w:eastAsia="仿宋_GB2312" w:cs="Times New Roman"/>
        </w:rPr>
        <w:t>小餐饮、非寄宿制的学校（托儿所、幼儿园）、小生产加工企业、</w:t>
      </w:r>
      <w:r>
        <w:rPr>
          <w:rFonts w:hint="default" w:ascii="Times New Roman" w:hAnsi="Times New Roman" w:eastAsia="仿宋_GB2312" w:cs="Times New Roman"/>
          <w:color w:val="00000A"/>
        </w:rPr>
        <w:t>小易燃易爆单位、小汽车库停车场、小仓储场所、快递场所等</w:t>
      </w:r>
      <w:r>
        <w:rPr>
          <w:rFonts w:hint="default" w:ascii="Times New Roman" w:hAnsi="Times New Roman" w:eastAsia="仿宋_GB2312" w:cs="Times New Roman"/>
        </w:rPr>
        <w:t>场所。</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楷体" w:hAnsi="楷体" w:eastAsia="楷体" w:cs="楷体"/>
          <w:color w:val="auto"/>
          <w:kern w:val="2"/>
          <w:sz w:val="32"/>
          <w:szCs w:val="32"/>
          <w:lang w:val="en-US" w:eastAsia="zh-CN" w:bidi="ar-SA"/>
        </w:rPr>
        <w:t>（二）多业态混合生产经营场所。</w:t>
      </w:r>
      <w:r>
        <w:rPr>
          <w:rFonts w:hint="default" w:ascii="Times New Roman" w:hAnsi="Times New Roman" w:eastAsia="仿宋_GB2312" w:cs="Times New Roman"/>
          <w:color w:val="auto"/>
          <w:sz w:val="32"/>
        </w:rPr>
        <w:t>包括集餐饮、住宿、娱乐、商业、仓储、文化、体育、培训等多业态多功能于一体的经营场所，分租、转租形成生产、储存多种功能的劳动密集型企业等场所。</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楷体" w:hAnsi="楷体" w:eastAsia="楷体" w:cs="楷体"/>
          <w:color w:val="auto"/>
          <w:kern w:val="2"/>
          <w:sz w:val="32"/>
          <w:szCs w:val="32"/>
          <w:lang w:val="en-US" w:eastAsia="zh-CN" w:bidi="ar-SA"/>
        </w:rPr>
        <w:t>（三）人员密集场所。</w:t>
      </w:r>
      <w:r>
        <w:rPr>
          <w:rFonts w:hint="default" w:ascii="Times New Roman" w:hAnsi="Times New Roman" w:eastAsia="仿宋_GB2312" w:cs="Times New Roman"/>
          <w:color w:val="auto"/>
          <w:sz w:val="32"/>
        </w:rPr>
        <w:t>包括老旧市场、宾馆饭店、公共娱乐场所、医院、寄宿制中小学、养老院、旅游场所、宗教活动等场所。</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eastAsia" w:ascii="黑体" w:hAnsi="黑体" w:eastAsia="黑体" w:cs="黑体"/>
          <w:color w:val="auto"/>
          <w:sz w:val="32"/>
        </w:rPr>
      </w:pPr>
      <w:r>
        <w:rPr>
          <w:rFonts w:hint="eastAsia" w:ascii="黑体" w:hAnsi="黑体" w:eastAsia="黑体" w:cs="黑体"/>
          <w:color w:val="auto"/>
          <w:sz w:val="32"/>
        </w:rPr>
        <w:t>三、整治重点</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深刻汲取江西新余市</w:t>
      </w:r>
      <w:r>
        <w:rPr>
          <w:rFonts w:hint="eastAsia" w:cs="Times New Roman"/>
          <w:color w:val="auto"/>
          <w:sz w:val="32"/>
          <w:lang w:eastAsia="zh-CN"/>
        </w:rPr>
        <w:t>“</w:t>
      </w:r>
      <w:r>
        <w:rPr>
          <w:rFonts w:hint="default" w:ascii="Times New Roman" w:hAnsi="Times New Roman" w:eastAsia="仿宋_GB2312" w:cs="Times New Roman"/>
          <w:color w:val="auto"/>
          <w:sz w:val="32"/>
        </w:rPr>
        <w:t>1·24</w:t>
      </w:r>
      <w:r>
        <w:rPr>
          <w:rFonts w:hint="eastAsia" w:cs="Times New Roman"/>
          <w:color w:val="auto"/>
          <w:sz w:val="32"/>
          <w:lang w:eastAsia="zh-CN"/>
        </w:rPr>
        <w:t>”</w:t>
      </w:r>
      <w:r>
        <w:rPr>
          <w:rFonts w:hint="default" w:ascii="Times New Roman" w:hAnsi="Times New Roman" w:eastAsia="仿宋_GB2312" w:cs="Times New Roman"/>
          <w:color w:val="auto"/>
          <w:sz w:val="32"/>
        </w:rPr>
        <w:t>特别重大火灾事故、河南南阳市</w:t>
      </w:r>
      <w:r>
        <w:rPr>
          <w:rFonts w:hint="eastAsia" w:cs="Times New Roman"/>
          <w:color w:val="auto"/>
          <w:sz w:val="32"/>
          <w:lang w:eastAsia="zh-CN"/>
        </w:rPr>
        <w:t>“</w:t>
      </w:r>
      <w:r>
        <w:rPr>
          <w:rFonts w:hint="default" w:ascii="Times New Roman" w:hAnsi="Times New Roman" w:eastAsia="仿宋_GB2312" w:cs="Times New Roman"/>
          <w:color w:val="auto"/>
          <w:sz w:val="32"/>
        </w:rPr>
        <w:t>1·19</w:t>
      </w:r>
      <w:r>
        <w:rPr>
          <w:rFonts w:hint="eastAsia" w:cs="Times New Roman"/>
          <w:color w:val="auto"/>
          <w:sz w:val="32"/>
          <w:lang w:eastAsia="zh-CN"/>
        </w:rPr>
        <w:t>”</w:t>
      </w:r>
      <w:r>
        <w:rPr>
          <w:rFonts w:hint="default" w:ascii="Times New Roman" w:hAnsi="Times New Roman" w:eastAsia="仿宋_GB2312" w:cs="Times New Roman"/>
          <w:color w:val="auto"/>
          <w:sz w:val="32"/>
        </w:rPr>
        <w:t>重大火灾事故教训，集中整治以下重点问题：</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eastAsia" w:ascii="楷体" w:hAnsi="楷体" w:eastAsia="楷体" w:cs="楷体"/>
          <w:color w:val="auto"/>
          <w:sz w:val="32"/>
        </w:rPr>
        <w:t>（一）违法违规施工作业和生产经营</w:t>
      </w:r>
      <w:r>
        <w:rPr>
          <w:rFonts w:hint="default" w:ascii="Times New Roman" w:hAnsi="Times New Roman" w:eastAsia="仿宋_GB2312" w:cs="Times New Roman"/>
          <w:color w:val="auto"/>
          <w:sz w:val="32"/>
        </w:rPr>
        <w:t>。</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1.未经审批施工作业、无证施工作业、违规拆除作业、违规层层转包施工作业、未落实作业安全措施冒险作业。</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2.违规使用明火或者电焊、气焊作业，动火、电焊、气焊作业人员未持证上岗，电焊、气焊作业未办理动火审批手续，作业现场未采取相应的消防安全措施。</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3.动火作业未安排专门人员进行现场安全管理。</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4.施工现场动火动焊作业、带火花作业与具有火灾、爆炸风险作业交叉进行。</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5.设置在人员密集场所、地下建筑的冷库违规采用易燃可燃保温材料，防火分割不到位，冷库建设、改造、拆除施工期间未严密落实火灾防范措施。</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楷体" w:hAnsi="楷体" w:eastAsia="楷体" w:cs="楷体"/>
          <w:color w:val="auto"/>
          <w:sz w:val="32"/>
        </w:rPr>
      </w:pPr>
      <w:r>
        <w:rPr>
          <w:rFonts w:hint="default" w:ascii="楷体" w:hAnsi="楷体" w:eastAsia="楷体" w:cs="楷体"/>
          <w:color w:val="auto"/>
          <w:sz w:val="32"/>
        </w:rPr>
        <w:t>（二）安全疏散条件不足。</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1.占用、堵塞、封闭疏散通道、安全出口和消防车通道。</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2.安全出口和疏散楼梯数量不足、宽度不够。</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3.应急广播、应急照明、疏散指示标志缺失、损坏。</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4.未结合实际制定灭火和应急疏散预案，员工、宿管员不掌握初起火灾扑救和组织疏散逃生技能。</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5.多业态混合生产经营场所未确定责任人对共用的疏散通道、安全出口进行统一管理。</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楷体" w:hAnsi="楷体" w:eastAsia="楷体" w:cs="楷体"/>
          <w:color w:val="auto"/>
          <w:sz w:val="32"/>
        </w:rPr>
      </w:pPr>
      <w:r>
        <w:rPr>
          <w:rFonts w:hint="default" w:ascii="楷体" w:hAnsi="楷体" w:eastAsia="楷体" w:cs="楷体"/>
          <w:color w:val="auto"/>
          <w:sz w:val="32"/>
        </w:rPr>
        <w:t>（三）违规设置防盗网和广告牌。</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1.人员密集场所在门窗上设置影响逃生和灭火救援的防盗网、铁栅栏、广告牌等障碍物。</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2.人员密集场所户外广告牌审批时未依法依规核对是否影响建筑物公共安全。</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楷体" w:hAnsi="楷体" w:eastAsia="楷体" w:cs="楷体"/>
          <w:color w:val="auto"/>
          <w:sz w:val="32"/>
        </w:rPr>
      </w:pPr>
      <w:r>
        <w:rPr>
          <w:rFonts w:hint="default" w:ascii="楷体" w:hAnsi="楷体" w:eastAsia="楷体" w:cs="楷体"/>
          <w:color w:val="auto"/>
          <w:sz w:val="32"/>
        </w:rPr>
        <w:t>（四）违规使用易燃可燃夹芯彩钢板材料。</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人员密集场所违规使用易燃可燃夹芯彩钢板材料。</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eastAsia" w:cs="Times New Roman"/>
          <w:color w:val="auto"/>
          <w:sz w:val="32"/>
          <w:lang w:eastAsia="zh-CN"/>
        </w:rPr>
        <w:t>各村、各单位</w:t>
      </w:r>
      <w:r>
        <w:rPr>
          <w:rFonts w:hint="default" w:ascii="Times New Roman" w:hAnsi="Times New Roman" w:eastAsia="仿宋_GB2312" w:cs="Times New Roman"/>
          <w:color w:val="auto"/>
          <w:sz w:val="32"/>
        </w:rPr>
        <w:t>可以结合本地</w:t>
      </w:r>
      <w:r>
        <w:rPr>
          <w:rFonts w:hint="eastAsia" w:cs="Times New Roman"/>
          <w:color w:val="auto"/>
          <w:sz w:val="32"/>
          <w:lang w:eastAsia="zh-CN"/>
        </w:rPr>
        <w:t>“</w:t>
      </w:r>
      <w:r>
        <w:rPr>
          <w:rFonts w:hint="default" w:ascii="Times New Roman" w:hAnsi="Times New Roman" w:eastAsia="仿宋_GB2312" w:cs="Times New Roman"/>
          <w:color w:val="auto"/>
          <w:sz w:val="32"/>
        </w:rPr>
        <w:t>九小场所</w:t>
      </w:r>
      <w:r>
        <w:rPr>
          <w:rFonts w:hint="eastAsia" w:cs="Times New Roman"/>
          <w:color w:val="auto"/>
          <w:sz w:val="32"/>
          <w:lang w:eastAsia="zh-CN"/>
        </w:rPr>
        <w:t>”</w:t>
      </w:r>
      <w:r>
        <w:rPr>
          <w:rFonts w:hint="default" w:ascii="Times New Roman" w:hAnsi="Times New Roman" w:eastAsia="仿宋_GB2312" w:cs="Times New Roman"/>
          <w:color w:val="auto"/>
          <w:sz w:val="32"/>
        </w:rPr>
        <w:t>、多业态混合生产经营场所、老旧市场等人员密集场所的火灾风险隐患特点，进一步细化整治重点。</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eastAsia" w:ascii="黑体" w:hAnsi="黑体" w:eastAsia="黑体" w:cs="黑体"/>
        </w:rPr>
      </w:pPr>
      <w:r>
        <w:rPr>
          <w:rFonts w:hint="eastAsia" w:ascii="黑体" w:hAnsi="黑体" w:eastAsia="黑体" w:cs="黑体"/>
        </w:rPr>
        <w:t>四、任务分工</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eastAsia="zh-CN"/>
        </w:rPr>
        <w:t>厉庄镇</w:t>
      </w:r>
      <w:r>
        <w:rPr>
          <w:rFonts w:hint="default" w:ascii="Times New Roman" w:hAnsi="Times New Roman" w:eastAsia="仿宋_GB2312" w:cs="Times New Roman"/>
          <w:color w:val="auto"/>
          <w:sz w:val="32"/>
          <w:szCs w:val="32"/>
        </w:rPr>
        <w:t>牵头落实属地管理责任，</w:t>
      </w:r>
      <w:r>
        <w:rPr>
          <w:rFonts w:hint="eastAsia" w:ascii="仿宋_GB2312" w:hAnsi="仿宋_GB2312" w:eastAsia="仿宋_GB2312" w:cs="仿宋_GB2312"/>
          <w:color w:val="auto"/>
          <w:sz w:val="32"/>
          <w:szCs w:val="32"/>
        </w:rPr>
        <w:t>其他行业部门要</w:t>
      </w:r>
      <w:r>
        <w:rPr>
          <w:rFonts w:hint="default" w:ascii="Times New Roman" w:hAnsi="Times New Roman" w:eastAsia="仿宋_GB2312" w:cs="Times New Roman"/>
          <w:color w:val="auto"/>
          <w:sz w:val="32"/>
          <w:szCs w:val="32"/>
        </w:rPr>
        <w:t>继续按照《</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生命至上，隐患必除</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消防安全专项行动方案》（赣消委</w:t>
      </w:r>
      <w:r>
        <w:rPr>
          <w:rFonts w:hint="default" w:ascii="Times New Roman" w:hAnsi="Times New Roman" w:eastAsia="仿宋_GB2312" w:cs="Times New Roman"/>
          <w:color w:val="auto"/>
          <w:sz w:val="32"/>
          <w:szCs w:val="26"/>
        </w:rPr>
        <w:t>〔202</w:t>
      </w:r>
      <w:r>
        <w:rPr>
          <w:rFonts w:hint="default" w:ascii="Times New Roman" w:hAnsi="Times New Roman" w:cs="Times New Roman"/>
          <w:color w:val="auto"/>
          <w:sz w:val="32"/>
          <w:szCs w:val="26"/>
          <w:lang w:val="en-US" w:eastAsia="zh-CN"/>
        </w:rPr>
        <w:t>3</w:t>
      </w:r>
      <w:r>
        <w:rPr>
          <w:rFonts w:hint="default" w:ascii="Times New Roman" w:hAnsi="Times New Roman" w:eastAsia="仿宋_GB2312" w:cs="Times New Roman"/>
          <w:color w:val="auto"/>
          <w:sz w:val="32"/>
          <w:szCs w:val="26"/>
        </w:rPr>
        <w:t>〕</w:t>
      </w:r>
      <w:r>
        <w:rPr>
          <w:rFonts w:hint="default" w:ascii="Times New Roman" w:hAnsi="Times New Roman" w:eastAsia="仿宋_GB2312" w:cs="Times New Roman"/>
          <w:color w:val="auto"/>
          <w:sz w:val="32"/>
          <w:szCs w:val="32"/>
        </w:rPr>
        <w:t>4号）任务分工，持续开展排查整治。此外，</w:t>
      </w:r>
      <w:r>
        <w:rPr>
          <w:rFonts w:hint="eastAsia" w:ascii="黑体" w:hAnsi="黑体" w:eastAsia="黑体" w:cs="黑体"/>
          <w:color w:val="auto"/>
          <w:sz w:val="32"/>
          <w:szCs w:val="32"/>
        </w:rPr>
        <w:t>民政</w:t>
      </w:r>
      <w:r>
        <w:rPr>
          <w:rFonts w:hint="eastAsia" w:ascii="黑体" w:hAnsi="黑体" w:eastAsia="黑体" w:cs="黑体"/>
          <w:b w:val="0"/>
          <w:bCs w:val="0"/>
          <w:color w:val="auto"/>
          <w:sz w:val="32"/>
          <w:szCs w:val="32"/>
          <w:lang w:eastAsia="zh-CN"/>
        </w:rPr>
        <w:t>办</w:t>
      </w:r>
      <w:r>
        <w:rPr>
          <w:rFonts w:hint="eastAsia" w:ascii="Times New Roman" w:hAnsi="Times New Roman" w:eastAsia="仿宋_GB2312" w:cs="Times New Roman"/>
          <w:color w:val="auto"/>
          <w:sz w:val="32"/>
          <w:lang w:eastAsia="zh-CN"/>
        </w:rPr>
        <w:t>要</w:t>
      </w:r>
      <w:r>
        <w:rPr>
          <w:rFonts w:hint="default" w:ascii="Times New Roman" w:hAnsi="Times New Roman" w:eastAsia="仿宋_GB2312" w:cs="Times New Roman"/>
          <w:color w:val="auto"/>
          <w:sz w:val="32"/>
        </w:rPr>
        <w:t>牵头负责</w:t>
      </w:r>
      <w:r>
        <w:rPr>
          <w:rFonts w:hint="eastAsia" w:cs="Times New Roman"/>
          <w:color w:val="auto"/>
          <w:sz w:val="32"/>
          <w:lang w:eastAsia="zh-CN"/>
        </w:rPr>
        <w:t>养老院</w:t>
      </w:r>
      <w:r>
        <w:rPr>
          <w:rFonts w:hint="default" w:ascii="Times New Roman" w:hAnsi="Times New Roman" w:eastAsia="仿宋_GB2312" w:cs="Times New Roman"/>
          <w:color w:val="auto"/>
          <w:sz w:val="32"/>
        </w:rPr>
        <w:t>排查整</w:t>
      </w:r>
      <w:r>
        <w:rPr>
          <w:rFonts w:hint="default" w:ascii="Times New Roman" w:hAnsi="Times New Roman" w:eastAsia="仿宋_GB2312" w:cs="Times New Roman"/>
          <w:color w:val="auto"/>
          <w:sz w:val="32"/>
          <w:szCs w:val="32"/>
        </w:rPr>
        <w:t>治；</w:t>
      </w:r>
      <w:r>
        <w:rPr>
          <w:rFonts w:hint="eastAsia" w:ascii="黑体" w:hAnsi="黑体" w:eastAsia="黑体" w:cs="黑体"/>
          <w:color w:val="auto"/>
          <w:sz w:val="32"/>
          <w:szCs w:val="26"/>
          <w:lang w:eastAsia="zh-CN"/>
        </w:rPr>
        <w:t>文教办</w:t>
      </w:r>
      <w:r>
        <w:rPr>
          <w:rFonts w:hint="default" w:ascii="Times New Roman" w:hAnsi="Times New Roman" w:eastAsia="仿宋_GB2312" w:cs="Times New Roman"/>
          <w:color w:val="auto"/>
          <w:sz w:val="32"/>
          <w:szCs w:val="26"/>
        </w:rPr>
        <w:t>开展校外培训机构排查整治</w:t>
      </w:r>
      <w:r>
        <w:rPr>
          <w:rFonts w:hint="eastAsia" w:cs="Times New Roman"/>
          <w:color w:val="auto"/>
          <w:sz w:val="32"/>
          <w:szCs w:val="26"/>
          <w:lang w:eastAsia="zh-CN"/>
        </w:rPr>
        <w:t>；</w:t>
      </w:r>
      <w:r>
        <w:rPr>
          <w:rFonts w:hint="default" w:ascii="黑体" w:hAnsi="黑体" w:eastAsia="黑体" w:cs="黑体"/>
          <w:color w:val="auto"/>
          <w:sz w:val="32"/>
          <w:szCs w:val="26"/>
          <w:lang w:eastAsia="zh-CN"/>
        </w:rPr>
        <w:t>公安派出所</w:t>
      </w:r>
      <w:r>
        <w:rPr>
          <w:rFonts w:hint="eastAsia" w:cs="Times New Roman"/>
          <w:color w:val="auto"/>
          <w:sz w:val="32"/>
          <w:szCs w:val="26"/>
          <w:lang w:eastAsia="zh-CN"/>
        </w:rPr>
        <w:t>负责</w:t>
      </w:r>
      <w:r>
        <w:rPr>
          <w:rFonts w:hint="default" w:ascii="Times New Roman" w:hAnsi="Times New Roman" w:eastAsia="仿宋_GB2312" w:cs="Times New Roman"/>
          <w:color w:val="auto"/>
          <w:sz w:val="32"/>
          <w:szCs w:val="26"/>
        </w:rPr>
        <w:t>对居民住宅区的物业服务企业、村（居）民委员会履行消防安全职责的情况和三级消防安全重点单位、日常消防监督检查范围内的单位实施消防监督检查</w:t>
      </w:r>
      <w:r>
        <w:rPr>
          <w:rFonts w:hint="eastAsia" w:cs="Times New Roman"/>
          <w:color w:val="auto"/>
          <w:sz w:val="32"/>
          <w:szCs w:val="26"/>
          <w:lang w:eastAsia="zh-CN"/>
        </w:rPr>
        <w:t>；</w:t>
      </w:r>
      <w:r>
        <w:rPr>
          <w:rFonts w:hint="default" w:ascii="黑体" w:hAnsi="黑体" w:eastAsia="黑体" w:cs="黑体"/>
          <w:color w:val="auto"/>
          <w:sz w:val="32"/>
          <w:szCs w:val="26"/>
          <w:lang w:eastAsia="zh-CN"/>
        </w:rPr>
        <w:t>消防工作站</w:t>
      </w:r>
      <w:r>
        <w:rPr>
          <w:rFonts w:hint="default" w:ascii="Times New Roman" w:hAnsi="Times New Roman" w:eastAsia="仿宋_GB2312" w:cs="Times New Roman"/>
          <w:color w:val="auto"/>
          <w:sz w:val="32"/>
          <w:szCs w:val="26"/>
        </w:rPr>
        <w:t>负责符合</w:t>
      </w:r>
      <w:r>
        <w:rPr>
          <w:rFonts w:hint="eastAsia" w:cs="Times New Roman"/>
          <w:color w:val="auto"/>
          <w:sz w:val="32"/>
          <w:szCs w:val="26"/>
          <w:lang w:eastAsia="zh-CN"/>
        </w:rPr>
        <w:t>“</w:t>
      </w:r>
      <w:r>
        <w:rPr>
          <w:rFonts w:hint="default" w:ascii="Times New Roman" w:hAnsi="Times New Roman" w:eastAsia="仿宋_GB2312" w:cs="Times New Roman"/>
          <w:color w:val="auto"/>
          <w:sz w:val="32"/>
          <w:szCs w:val="26"/>
        </w:rPr>
        <w:t>九小场所</w:t>
      </w:r>
      <w:r>
        <w:rPr>
          <w:rFonts w:hint="eastAsia" w:cs="Times New Roman"/>
          <w:color w:val="auto"/>
          <w:sz w:val="32"/>
          <w:szCs w:val="26"/>
          <w:lang w:eastAsia="zh-CN"/>
        </w:rPr>
        <w:t>”</w:t>
      </w:r>
      <w:r>
        <w:rPr>
          <w:rFonts w:hint="default" w:ascii="Times New Roman" w:hAnsi="Times New Roman" w:eastAsia="仿宋_GB2312" w:cs="Times New Roman"/>
          <w:color w:val="auto"/>
          <w:sz w:val="32"/>
          <w:szCs w:val="26"/>
        </w:rPr>
        <w:t>范围（附件1）内单位场所的排查整治</w:t>
      </w:r>
      <w:r>
        <w:rPr>
          <w:rFonts w:hint="eastAsia" w:cs="Times New Roman"/>
          <w:color w:val="auto"/>
          <w:sz w:val="32"/>
          <w:szCs w:val="26"/>
          <w:lang w:eastAsia="zh-CN"/>
        </w:rPr>
        <w:t>。</w:t>
      </w:r>
      <w:r>
        <w:rPr>
          <w:rFonts w:hint="default" w:ascii="Times New Roman" w:hAnsi="Times New Roman" w:eastAsia="仿宋_GB2312" w:cs="Times New Roman"/>
          <w:color w:val="auto"/>
          <w:sz w:val="32"/>
          <w:szCs w:val="26"/>
        </w:rPr>
        <w:t>对于多业态混合生产经营场所、老旧市场以及监管职责模糊的行业领域和场所单位，按照</w:t>
      </w:r>
      <w:r>
        <w:rPr>
          <w:rFonts w:hint="eastAsia" w:cs="Times New Roman"/>
          <w:color w:val="auto"/>
          <w:sz w:val="32"/>
          <w:szCs w:val="26"/>
          <w:lang w:eastAsia="zh-CN"/>
        </w:rPr>
        <w:t>“</w:t>
      </w:r>
      <w:r>
        <w:rPr>
          <w:rFonts w:hint="default" w:ascii="Times New Roman" w:hAnsi="Times New Roman" w:eastAsia="仿宋_GB2312" w:cs="Times New Roman"/>
          <w:color w:val="auto"/>
          <w:sz w:val="32"/>
          <w:szCs w:val="26"/>
        </w:rPr>
        <w:t>业务相近</w:t>
      </w:r>
      <w:r>
        <w:rPr>
          <w:rFonts w:hint="eastAsia" w:cs="Times New Roman"/>
          <w:color w:val="auto"/>
          <w:sz w:val="32"/>
          <w:szCs w:val="26"/>
          <w:lang w:eastAsia="zh-CN"/>
        </w:rPr>
        <w:t>”</w:t>
      </w:r>
      <w:r>
        <w:rPr>
          <w:rFonts w:hint="default" w:ascii="Times New Roman" w:hAnsi="Times New Roman" w:eastAsia="仿宋_GB2312" w:cs="Times New Roman"/>
          <w:color w:val="auto"/>
          <w:sz w:val="32"/>
          <w:szCs w:val="26"/>
        </w:rPr>
        <w:t>和</w:t>
      </w:r>
      <w:r>
        <w:rPr>
          <w:rFonts w:hint="eastAsia" w:cs="Times New Roman"/>
          <w:color w:val="auto"/>
          <w:sz w:val="32"/>
          <w:szCs w:val="26"/>
          <w:lang w:eastAsia="zh-CN"/>
        </w:rPr>
        <w:t>“</w:t>
      </w:r>
      <w:r>
        <w:rPr>
          <w:rFonts w:hint="default" w:ascii="Times New Roman" w:hAnsi="Times New Roman" w:eastAsia="仿宋_GB2312" w:cs="Times New Roman"/>
          <w:color w:val="auto"/>
          <w:sz w:val="32"/>
          <w:szCs w:val="26"/>
        </w:rPr>
        <w:t>谁主管谁牵头、谁为主谁牵头、谁靠近谁牵头</w:t>
      </w:r>
      <w:r>
        <w:rPr>
          <w:rFonts w:hint="eastAsia" w:cs="Times New Roman"/>
          <w:color w:val="auto"/>
          <w:sz w:val="32"/>
          <w:szCs w:val="26"/>
          <w:lang w:eastAsia="zh-CN"/>
        </w:rPr>
        <w:t>”</w:t>
      </w:r>
      <w:r>
        <w:rPr>
          <w:rFonts w:hint="default" w:ascii="Times New Roman" w:hAnsi="Times New Roman" w:eastAsia="仿宋_GB2312" w:cs="Times New Roman"/>
          <w:color w:val="auto"/>
          <w:sz w:val="32"/>
          <w:szCs w:val="26"/>
        </w:rPr>
        <w:t>原则，逐一明确牵头部门，开展排查整治。确保监管无盲区。</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eastAsia" w:ascii="黑体" w:hAnsi="黑体" w:eastAsia="黑体" w:cs="黑体"/>
        </w:rPr>
      </w:pPr>
      <w:r>
        <w:rPr>
          <w:rFonts w:hint="eastAsia" w:ascii="黑体" w:hAnsi="黑体" w:eastAsia="黑体" w:cs="黑体"/>
        </w:rPr>
        <w:t>五、整治措施</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eastAsia" w:ascii="楷体" w:hAnsi="楷体" w:eastAsia="楷体" w:cs="楷体"/>
          <w:color w:val="auto"/>
          <w:sz w:val="32"/>
        </w:rPr>
        <w:t>（一）集中开展大排查行动。</w:t>
      </w:r>
      <w:r>
        <w:rPr>
          <w:rFonts w:hint="eastAsia" w:cs="Times New Roman"/>
          <w:color w:val="auto"/>
          <w:sz w:val="32"/>
          <w:lang w:eastAsia="zh-CN"/>
        </w:rPr>
        <w:t>各村</w:t>
      </w:r>
      <w:r>
        <w:rPr>
          <w:rFonts w:hint="default" w:ascii="Times New Roman" w:hAnsi="Times New Roman" w:eastAsia="仿宋_GB2312" w:cs="Times New Roman"/>
          <w:color w:val="auto"/>
          <w:sz w:val="32"/>
        </w:rPr>
        <w:t>要发布、张贴市安委会办公室、市消委会办公室统一制作的三类重点场所整治通告，全面发动三类场所自查自改消防安全突出风险隐患，要求场所责任人、管理人带队开展全面自查，并签字确认自查记录存档备查（附件2）。各单位要根据三类重点场所消防安全整治指南（附件3），组织开展行业领域消防安全大排查，查清行业领域突出风险隐患。对于难以整治的突出风险隐患，及时向镇政府报告，</w:t>
      </w:r>
      <w:r>
        <w:rPr>
          <w:rFonts w:hint="eastAsia" w:cs="Times New Roman"/>
          <w:color w:val="auto"/>
          <w:sz w:val="32"/>
          <w:lang w:eastAsia="zh-CN"/>
        </w:rPr>
        <w:t>镇政府将</w:t>
      </w:r>
      <w:r>
        <w:rPr>
          <w:rFonts w:hint="default" w:ascii="Times New Roman" w:hAnsi="Times New Roman" w:eastAsia="仿宋_GB2312" w:cs="Times New Roman"/>
          <w:color w:val="auto"/>
          <w:sz w:val="32"/>
        </w:rPr>
        <w:t>组织公安派出所、基层消防工作站、综合执法队伍等力量联合查处。</w:t>
      </w:r>
    </w:p>
    <w:p>
      <w:pPr>
        <w:pStyle w:val="13"/>
        <w:keepNext w:val="0"/>
        <w:keepLines w:val="0"/>
        <w:pageBreakBefore w:val="0"/>
        <w:widowControl w:val="0"/>
        <w:kinsoku/>
        <w:wordWrap/>
        <w:overflowPunct/>
        <w:topLinePunct w:val="0"/>
        <w:bidi w:val="0"/>
        <w:spacing w:line="560" w:lineRule="exact"/>
        <w:ind w:firstLine="632" w:firstLineChars="200"/>
        <w:jc w:val="both"/>
        <w:textAlignment w:val="auto"/>
        <w:rPr>
          <w:rFonts w:hint="default" w:ascii="Times New Roman" w:hAnsi="Times New Roman" w:eastAsia="仿宋_GB2312" w:cs="Times New Roman"/>
          <w:color w:val="auto"/>
          <w:sz w:val="32"/>
        </w:rPr>
      </w:pPr>
      <w:r>
        <w:rPr>
          <w:rFonts w:hint="default" w:ascii="楷体" w:hAnsi="楷体" w:eastAsia="楷体" w:cs="楷体"/>
          <w:color w:val="auto"/>
          <w:sz w:val="32"/>
        </w:rPr>
        <w:t>（二）集中开展大整治行动。</w:t>
      </w:r>
      <w:r>
        <w:rPr>
          <w:rFonts w:hint="eastAsia" w:cs="Times New Roman"/>
          <w:color w:val="auto"/>
          <w:sz w:val="32"/>
          <w:lang w:eastAsia="zh-CN"/>
        </w:rPr>
        <w:t>各村、各单位</w:t>
      </w:r>
      <w:r>
        <w:rPr>
          <w:rFonts w:hint="default" w:ascii="Times New Roman" w:hAnsi="Times New Roman" w:eastAsia="仿宋_GB2312" w:cs="Times New Roman"/>
          <w:color w:val="auto"/>
          <w:sz w:val="32"/>
        </w:rPr>
        <w:t>对排查发现的突出风险隐患，要登记上账、闭环管理，分类施策、逐一销账，及时填写《</w:t>
      </w:r>
      <w:r>
        <w:rPr>
          <w:rFonts w:hint="default" w:ascii="Times New Roman" w:hAnsi="Times New Roman" w:eastAsia="仿宋_GB2312" w:cs="Times New Roman"/>
          <w:color w:val="auto"/>
          <w:sz w:val="32"/>
          <w:szCs w:val="32"/>
        </w:rPr>
        <w:t>单位消防安全集中除患攻坚大整治行动排查登记表</w:t>
      </w:r>
      <w:r>
        <w:rPr>
          <w:rFonts w:hint="default" w:ascii="Times New Roman" w:hAnsi="Times New Roman" w:eastAsia="仿宋_GB2312" w:cs="Times New Roman"/>
          <w:color w:val="auto"/>
          <w:sz w:val="32"/>
        </w:rPr>
        <w:t>》（附件4）。对于单位场所自身能整改的，要依法督促全部整改；对于难以整改的，要作为攻坚整治对象，明确整改责任及方案，细化整改措施和时限，整改一处，销案一处。对于单位场所逾期不改或拒不整改的，要硬起手腕，用足用好执法手段，依法从严、从重、从快处理。坚决打击整治违规动火动焊施工作业、疏散通道占堵和违规设置铁栅栏等问题，尤其是</w:t>
      </w:r>
      <w:r>
        <w:rPr>
          <w:rFonts w:hint="eastAsia" w:ascii="黑体" w:hAnsi="黑体" w:eastAsia="黑体" w:cs="黑体"/>
          <w:color w:val="auto"/>
          <w:sz w:val="32"/>
        </w:rPr>
        <w:t>要将畅通疏散通道、安全出口作为此次整治的重中之重，严格监督执法，坚持五个</w:t>
      </w:r>
      <w:r>
        <w:rPr>
          <w:rFonts w:hint="eastAsia" w:ascii="黑体" w:hAnsi="黑体" w:eastAsia="黑体" w:cs="黑体"/>
          <w:color w:val="auto"/>
          <w:sz w:val="32"/>
          <w:lang w:eastAsia="zh-CN"/>
        </w:rPr>
        <w:t>“</w:t>
      </w:r>
      <w:r>
        <w:rPr>
          <w:rFonts w:hint="eastAsia" w:ascii="黑体" w:hAnsi="黑体" w:eastAsia="黑体" w:cs="黑体"/>
          <w:color w:val="auto"/>
          <w:sz w:val="32"/>
        </w:rPr>
        <w:t>必须</w:t>
      </w:r>
      <w:r>
        <w:rPr>
          <w:rFonts w:hint="eastAsia" w:ascii="黑体" w:hAnsi="黑体" w:eastAsia="黑体" w:cs="黑体"/>
          <w:color w:val="auto"/>
          <w:sz w:val="32"/>
          <w:lang w:eastAsia="zh-CN"/>
        </w:rPr>
        <w:t>”</w:t>
      </w:r>
      <w:r>
        <w:rPr>
          <w:rFonts w:hint="default" w:ascii="Times New Roman" w:hAnsi="Times New Roman" w:eastAsia="仿宋_GB2312" w:cs="Times New Roman"/>
          <w:color w:val="auto"/>
          <w:sz w:val="32"/>
        </w:rPr>
        <w:t>（即，对安全出口和疏散楼梯数量不足或严重堵塞的，必须依法查封或停产停业；对锁闭疏散通道、安全出口不能立即改正的，必须依法责令改正，并从重处罚；对应急照明、疏散指示标志配置不到位或损坏的，必须依法责令改正，并依法处罚；未按规定制定灭火和应急疏散预案并组织开展演练的，以及多业态混合生产经营场所未建立应急联动响应机制的，必须依法责令限期改正</w:t>
      </w:r>
      <w:r>
        <w:rPr>
          <w:rFonts w:hint="eastAsia" w:cs="Times New Roman"/>
          <w:color w:val="auto"/>
          <w:sz w:val="32"/>
          <w:lang w:eastAsia="zh-CN"/>
        </w:rPr>
        <w:t>；</w:t>
      </w:r>
      <w:r>
        <w:rPr>
          <w:rFonts w:hint="default" w:ascii="Times New Roman" w:hAnsi="Times New Roman" w:eastAsia="仿宋_GB2312" w:cs="Times New Roman"/>
          <w:color w:val="auto"/>
          <w:sz w:val="32"/>
        </w:rPr>
        <w:t>对人员密集场所在门窗上设置影响逃生和灭火救援的防盗网、铁栅栏、广告牌等障碍物的，必须按照《</w:t>
      </w:r>
      <w:r>
        <w:rPr>
          <w:rFonts w:hint="eastAsia" w:cs="Times New Roman"/>
          <w:color w:val="auto"/>
          <w:sz w:val="32"/>
          <w:lang w:eastAsia="zh-CN"/>
        </w:rPr>
        <w:t>全区“</w:t>
      </w:r>
      <w:r>
        <w:rPr>
          <w:rFonts w:hint="default" w:ascii="Times New Roman" w:hAnsi="Times New Roman" w:eastAsia="仿宋_GB2312" w:cs="Times New Roman"/>
          <w:color w:val="auto"/>
          <w:sz w:val="32"/>
        </w:rPr>
        <w:t>拆违、破网、透窗</w:t>
      </w:r>
      <w:r>
        <w:rPr>
          <w:rFonts w:hint="eastAsia" w:cs="Times New Roman"/>
          <w:color w:val="auto"/>
          <w:sz w:val="32"/>
          <w:lang w:eastAsia="zh-CN"/>
        </w:rPr>
        <w:t>”</w:t>
      </w:r>
      <w:r>
        <w:rPr>
          <w:rFonts w:hint="default" w:ascii="Times New Roman" w:hAnsi="Times New Roman" w:eastAsia="仿宋_GB2312" w:cs="Times New Roman"/>
          <w:color w:val="auto"/>
          <w:sz w:val="32"/>
        </w:rPr>
        <w:t>百日攻坚行动工作方案》（</w:t>
      </w:r>
      <w:r>
        <w:rPr>
          <w:rFonts w:hint="default" w:ascii="Times New Roman" w:hAnsi="Times New Roman" w:eastAsia="仿宋_GB2312" w:cs="Times New Roman"/>
          <w:color w:val="auto"/>
          <w:sz w:val="32"/>
          <w:lang w:val="en-US" w:eastAsia="zh-CN"/>
        </w:rPr>
        <w:t>赣</w:t>
      </w:r>
      <w:r>
        <w:rPr>
          <w:rFonts w:hint="default" w:ascii="Times New Roman" w:hAnsi="Times New Roman" w:eastAsia="仿宋_GB2312" w:cs="Times New Roman"/>
          <w:color w:val="auto"/>
          <w:sz w:val="32"/>
        </w:rPr>
        <w:t>城管委办</w:t>
      </w:r>
      <w:r>
        <w:rPr>
          <w:rFonts w:hint="default" w:ascii="Times New Roman" w:hAnsi="Times New Roman" w:eastAsia="仿宋_GB2312" w:cs="Times New Roman"/>
          <w:color w:val="auto"/>
          <w:sz w:val="32"/>
          <w:szCs w:val="32"/>
        </w:rPr>
        <w:t>〔202</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rPr>
        <w:t>1号）文件要求，督促单位积极整改，对逾期不整改的，联合</w:t>
      </w:r>
      <w:r>
        <w:rPr>
          <w:rFonts w:hint="eastAsia" w:cs="Times New Roman"/>
          <w:color w:val="auto"/>
          <w:sz w:val="32"/>
          <w:lang w:eastAsia="zh-CN"/>
        </w:rPr>
        <w:t>综合</w:t>
      </w:r>
      <w:r>
        <w:rPr>
          <w:rFonts w:hint="eastAsia" w:cs="Times New Roman"/>
          <w:color w:val="auto"/>
          <w:sz w:val="32"/>
          <w:lang w:val="en-US" w:eastAsia="zh-CN"/>
        </w:rPr>
        <w:t>行政</w:t>
      </w:r>
      <w:r>
        <w:rPr>
          <w:rFonts w:hint="eastAsia" w:cs="Times New Roman"/>
          <w:color w:val="auto"/>
          <w:sz w:val="32"/>
          <w:lang w:eastAsia="zh-CN"/>
        </w:rPr>
        <w:t>执法局</w:t>
      </w:r>
      <w:r>
        <w:rPr>
          <w:rFonts w:hint="default" w:ascii="Times New Roman" w:hAnsi="Times New Roman" w:eastAsia="仿宋_GB2312" w:cs="Times New Roman"/>
          <w:color w:val="auto"/>
          <w:sz w:val="32"/>
        </w:rPr>
        <w:t>，依法组织拆除），确保取得实效。</w:t>
      </w:r>
    </w:p>
    <w:p>
      <w:pPr>
        <w:keepNext w:val="0"/>
        <w:keepLines w:val="0"/>
        <w:pageBreakBefore w:val="0"/>
        <w:widowControl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rPr>
      </w:pPr>
      <w:r>
        <w:rPr>
          <w:rFonts w:hint="default" w:ascii="楷体" w:hAnsi="楷体" w:eastAsia="楷体" w:cs="楷体"/>
          <w:color w:val="auto"/>
          <w:kern w:val="0"/>
          <w:sz w:val="32"/>
          <w:szCs w:val="24"/>
          <w:lang w:val="en-US" w:eastAsia="zh-CN" w:bidi="ar-SA"/>
        </w:rPr>
        <w:t>（三）集中开展大曝光行动。</w:t>
      </w:r>
      <w:r>
        <w:rPr>
          <w:rFonts w:hint="eastAsia" w:cs="Times New Roman"/>
          <w:lang w:eastAsia="zh-CN"/>
        </w:rPr>
        <w:t>各村</w:t>
      </w:r>
      <w:r>
        <w:rPr>
          <w:rFonts w:hint="default" w:ascii="Times New Roman" w:hAnsi="Times New Roman" w:eastAsia="仿宋_GB2312" w:cs="Times New Roman"/>
        </w:rPr>
        <w:t>要集中曝光典型隐患、突出问题和严重违法行为，向社会公布单位名称和具体问题。对于隐患问题特别突出、违法行为特别严重的，协调媒体曝光，推动隐患整改。利用媒体平台发布通告，大力宣传举报投诉渠道，落实相关奖励措施，发动公众举报火灾隐患和消防违法行为。</w:t>
      </w:r>
      <w:r>
        <w:rPr>
          <w:rFonts w:hint="eastAsia" w:cs="Times New Roman"/>
          <w:lang w:eastAsia="zh-CN"/>
        </w:rPr>
        <w:t>各村、各单位</w:t>
      </w:r>
      <w:r>
        <w:rPr>
          <w:rFonts w:hint="default" w:ascii="Times New Roman" w:hAnsi="Times New Roman" w:eastAsia="仿宋_GB2312" w:cs="Times New Roman"/>
        </w:rPr>
        <w:t>要加强典型火灾案例警示教育，剖析火灾事故原因教训，提高公众消防安全能力素质。要广泛开展安全用火用电用气、安全燃放烟花爆竹、畅通生命通道、应急疏散逃生等常识宣传，引导</w:t>
      </w:r>
      <w:r>
        <w:rPr>
          <w:rFonts w:hint="eastAsia" w:cs="Times New Roman"/>
          <w:lang w:val="en-US" w:eastAsia="zh-CN"/>
        </w:rPr>
        <w:t>群众</w:t>
      </w:r>
      <w:r>
        <w:rPr>
          <w:rFonts w:hint="default" w:ascii="Times New Roman" w:hAnsi="Times New Roman" w:eastAsia="仿宋_GB2312" w:cs="Times New Roman"/>
        </w:rPr>
        <w:t>自觉落实</w:t>
      </w:r>
      <w:r>
        <w:rPr>
          <w:rFonts w:hint="eastAsia" w:cs="Times New Roman"/>
          <w:lang w:eastAsia="zh-CN"/>
        </w:rPr>
        <w:t>“</w:t>
      </w:r>
      <w:r>
        <w:rPr>
          <w:rFonts w:hint="default" w:ascii="Times New Roman" w:hAnsi="Times New Roman" w:eastAsia="仿宋_GB2312" w:cs="Times New Roman"/>
        </w:rPr>
        <w:t>三清三关</w:t>
      </w:r>
      <w:r>
        <w:rPr>
          <w:rFonts w:hint="eastAsia" w:cs="Times New Roman"/>
          <w:lang w:eastAsia="zh-CN"/>
        </w:rPr>
        <w:t>”</w:t>
      </w:r>
      <w:r>
        <w:rPr>
          <w:rFonts w:hint="default" w:ascii="Times New Roman" w:hAnsi="Times New Roman" w:eastAsia="仿宋_GB2312" w:cs="Times New Roman"/>
        </w:rPr>
        <w:t>。</w:t>
      </w:r>
    </w:p>
    <w:p>
      <w:pPr>
        <w:keepNext w:val="0"/>
        <w:keepLines w:val="0"/>
        <w:pageBreakBefore w:val="0"/>
        <w:widowControl w:val="0"/>
        <w:kinsoku/>
        <w:wordWrap/>
        <w:overflowPunct/>
        <w:topLinePunct w:val="0"/>
        <w:bidi w:val="0"/>
        <w:spacing w:line="560" w:lineRule="exact"/>
        <w:ind w:firstLine="462" w:firstLineChars="146"/>
        <w:textAlignment w:val="auto"/>
        <w:rPr>
          <w:rFonts w:hint="default" w:ascii="Times New Roman" w:hAnsi="Times New Roman" w:eastAsia="仿宋_GB2312" w:cs="Times New Roman"/>
        </w:rPr>
      </w:pPr>
      <w:r>
        <w:rPr>
          <w:rFonts w:hint="default" w:ascii="楷体" w:hAnsi="楷体" w:eastAsia="楷体" w:cs="楷体"/>
          <w:color w:val="auto"/>
          <w:kern w:val="0"/>
          <w:sz w:val="32"/>
          <w:szCs w:val="24"/>
          <w:lang w:val="en-US" w:eastAsia="zh-CN" w:bidi="ar-SA"/>
        </w:rPr>
        <w:t>（四）集中开展大演练行动。</w:t>
      </w:r>
      <w:r>
        <w:rPr>
          <w:rFonts w:hint="eastAsia" w:cs="Times New Roman"/>
          <w:lang w:eastAsia="zh-CN"/>
        </w:rPr>
        <w:t>各村、各单位</w:t>
      </w:r>
      <w:r>
        <w:rPr>
          <w:rFonts w:hint="default" w:ascii="Times New Roman" w:hAnsi="Times New Roman" w:eastAsia="仿宋_GB2312" w:cs="Times New Roman"/>
        </w:rPr>
        <w:t>要聚焦</w:t>
      </w:r>
      <w:r>
        <w:rPr>
          <w:rFonts w:hint="eastAsia" w:cs="Times New Roman"/>
          <w:lang w:eastAsia="zh-CN"/>
        </w:rPr>
        <w:t>“</w:t>
      </w:r>
      <w:r>
        <w:rPr>
          <w:rFonts w:hint="default" w:ascii="Times New Roman" w:hAnsi="Times New Roman" w:eastAsia="仿宋_GB2312" w:cs="Times New Roman"/>
        </w:rPr>
        <w:t>九小场所</w:t>
      </w:r>
      <w:r>
        <w:rPr>
          <w:rFonts w:hint="eastAsia" w:cs="Times New Roman"/>
          <w:lang w:eastAsia="zh-CN"/>
        </w:rPr>
        <w:t>”</w:t>
      </w:r>
      <w:r>
        <w:rPr>
          <w:rFonts w:hint="default" w:ascii="Times New Roman" w:hAnsi="Times New Roman" w:eastAsia="仿宋_GB2312" w:cs="Times New Roman"/>
        </w:rPr>
        <w:t>、多业态混合生产经营、人员密集等三类重点场所，突出经营场所业主、员工、宿舍管理员、医护人员和护工、物业人员、安保员、基层执法人员和网格员等</w:t>
      </w:r>
      <w:r>
        <w:rPr>
          <w:rFonts w:hint="eastAsia" w:cs="Times New Roman"/>
          <w:lang w:eastAsia="zh-CN"/>
        </w:rPr>
        <w:t>“</w:t>
      </w:r>
      <w:r>
        <w:rPr>
          <w:rFonts w:hint="default" w:ascii="Times New Roman" w:hAnsi="Times New Roman" w:eastAsia="仿宋_GB2312" w:cs="Times New Roman"/>
        </w:rPr>
        <w:t>七类重点人群</w:t>
      </w:r>
      <w:r>
        <w:rPr>
          <w:rFonts w:hint="eastAsia" w:cs="Times New Roman"/>
          <w:lang w:eastAsia="zh-CN"/>
        </w:rPr>
        <w:t>”</w:t>
      </w:r>
      <w:r>
        <w:rPr>
          <w:rFonts w:hint="default" w:ascii="Times New Roman" w:hAnsi="Times New Roman" w:eastAsia="仿宋_GB2312" w:cs="Times New Roman"/>
        </w:rPr>
        <w:t>，按照制定演练预案、做好演练准备、组织实施演练、开展复盘评估的方法步骤，组织开展消防安全大演练活动，着力提升人员初起火灾扑救和疏散逃生能力，努力实现人人会逃生、个个会应急。</w:t>
      </w:r>
    </w:p>
    <w:p>
      <w:pPr>
        <w:keepNext w:val="0"/>
        <w:keepLines w:val="0"/>
        <w:pageBreakBefore w:val="0"/>
        <w:widowControl w:val="0"/>
        <w:kinsoku/>
        <w:wordWrap/>
        <w:overflowPunct/>
        <w:topLinePunct w:val="0"/>
        <w:bidi w:val="0"/>
        <w:spacing w:line="560" w:lineRule="exact"/>
        <w:ind w:firstLine="462" w:firstLineChars="146"/>
        <w:textAlignment w:val="auto"/>
        <w:rPr>
          <w:rFonts w:hint="default" w:ascii="Times New Roman" w:hAnsi="Times New Roman" w:eastAsia="仿宋_GB2312" w:cs="Times New Roman"/>
        </w:rPr>
      </w:pPr>
      <w:r>
        <w:rPr>
          <w:rFonts w:hint="default" w:ascii="楷体" w:hAnsi="楷体" w:eastAsia="楷体" w:cs="楷体"/>
          <w:color w:val="auto"/>
          <w:kern w:val="0"/>
          <w:sz w:val="32"/>
          <w:szCs w:val="24"/>
          <w:lang w:val="en-US" w:eastAsia="zh-CN" w:bidi="ar-SA"/>
        </w:rPr>
        <w:t>（五）集中开展大约谈行动。</w:t>
      </w:r>
      <w:r>
        <w:rPr>
          <w:rFonts w:hint="eastAsia" w:cs="Times New Roman"/>
          <w:lang w:eastAsia="zh-CN"/>
        </w:rPr>
        <w:t>各村、各单位</w:t>
      </w:r>
      <w:r>
        <w:rPr>
          <w:rFonts w:hint="default" w:ascii="Times New Roman" w:hAnsi="Times New Roman" w:eastAsia="仿宋_GB2312" w:cs="Times New Roman"/>
        </w:rPr>
        <w:t>要结合大排查、大整治行动，认真研判重点行业领域消防安全风险，向相关行业部门和单位发出工作提示函，指出突出风险隐患，提出防范对策措施。对火灾多发区域、问题突出的行业，要开展约谈工作，发出工作警示函。对隐患整改难度大、火灾风险高的，组织召开隐患整改现场会，讲清责任、讲明风险、讲透危害，督促整改落实。</w:t>
      </w:r>
    </w:p>
    <w:p>
      <w:pPr>
        <w:keepNext w:val="0"/>
        <w:keepLines w:val="0"/>
        <w:pageBreakBefore w:val="0"/>
        <w:widowControl w:val="0"/>
        <w:kinsoku/>
        <w:wordWrap/>
        <w:overflowPunct/>
        <w:topLinePunct w:val="0"/>
        <w:bidi w:val="0"/>
        <w:spacing w:line="560" w:lineRule="exact"/>
        <w:ind w:firstLine="462" w:firstLineChars="146"/>
        <w:textAlignment w:val="auto"/>
        <w:rPr>
          <w:rFonts w:hint="default" w:ascii="Times New Roman" w:hAnsi="Times New Roman" w:eastAsia="仿宋_GB2312" w:cs="Times New Roman"/>
        </w:rPr>
      </w:pPr>
      <w:r>
        <w:rPr>
          <w:rFonts w:hint="default" w:ascii="楷体" w:hAnsi="楷体" w:eastAsia="楷体" w:cs="楷体"/>
          <w:color w:val="auto"/>
          <w:kern w:val="0"/>
          <w:sz w:val="32"/>
          <w:szCs w:val="24"/>
          <w:lang w:val="en-US" w:eastAsia="zh-CN" w:bidi="ar-SA"/>
        </w:rPr>
        <w:t>（六）集中开展大督导行动。</w:t>
      </w:r>
      <w:r>
        <w:rPr>
          <w:rFonts w:hint="eastAsia" w:cs="Times New Roman"/>
          <w:lang w:val="en-US" w:eastAsia="zh-CN"/>
        </w:rPr>
        <w:t>镇</w:t>
      </w:r>
      <w:r>
        <w:rPr>
          <w:rFonts w:hint="default" w:ascii="Times New Roman" w:hAnsi="Times New Roman" w:eastAsia="仿宋_GB2312" w:cs="Times New Roman"/>
          <w:lang w:val="en-US" w:eastAsia="zh-CN"/>
        </w:rPr>
        <w:t>安委办和</w:t>
      </w:r>
      <w:r>
        <w:rPr>
          <w:rFonts w:hint="eastAsia" w:cs="Times New Roman"/>
          <w:lang w:val="en-US" w:eastAsia="zh-CN"/>
        </w:rPr>
        <w:t>镇</w:t>
      </w:r>
      <w:r>
        <w:rPr>
          <w:rFonts w:hint="default" w:ascii="Times New Roman" w:hAnsi="Times New Roman" w:eastAsia="仿宋_GB2312" w:cs="Times New Roman"/>
          <w:lang w:val="en-US" w:eastAsia="zh-CN"/>
        </w:rPr>
        <w:t>消委办将</w:t>
      </w:r>
      <w:r>
        <w:rPr>
          <w:rFonts w:hint="default" w:ascii="Times New Roman" w:hAnsi="Times New Roman" w:eastAsia="仿宋_GB2312" w:cs="Times New Roman"/>
        </w:rPr>
        <w:t>组织相关部门开展</w:t>
      </w:r>
      <w:r>
        <w:rPr>
          <w:rFonts w:hint="eastAsia" w:cs="Times New Roman"/>
          <w:lang w:eastAsia="zh-CN"/>
        </w:rPr>
        <w:t>“</w:t>
      </w:r>
      <w:r>
        <w:rPr>
          <w:rFonts w:hint="default" w:ascii="Times New Roman" w:hAnsi="Times New Roman" w:eastAsia="仿宋_GB2312" w:cs="Times New Roman"/>
        </w:rPr>
        <w:t>穿透式</w:t>
      </w:r>
      <w:r>
        <w:rPr>
          <w:rFonts w:hint="eastAsia" w:cs="Times New Roman"/>
          <w:lang w:eastAsia="zh-CN"/>
        </w:rPr>
        <w:t>”“</w:t>
      </w:r>
      <w:r>
        <w:rPr>
          <w:rFonts w:hint="default" w:ascii="Times New Roman" w:hAnsi="Times New Roman" w:eastAsia="仿宋_GB2312" w:cs="Times New Roman"/>
        </w:rPr>
        <w:t>印证式</w:t>
      </w:r>
      <w:r>
        <w:rPr>
          <w:rFonts w:hint="eastAsia" w:cs="Times New Roman"/>
          <w:lang w:eastAsia="zh-CN"/>
        </w:rPr>
        <w:t>”“</w:t>
      </w:r>
      <w:r>
        <w:rPr>
          <w:rFonts w:hint="default" w:ascii="Times New Roman" w:hAnsi="Times New Roman" w:eastAsia="仿宋_GB2312" w:cs="Times New Roman"/>
        </w:rPr>
        <w:t>关联式</w:t>
      </w:r>
      <w:r>
        <w:rPr>
          <w:rFonts w:hint="eastAsia" w:cs="Times New Roman"/>
          <w:lang w:eastAsia="zh-CN"/>
        </w:rPr>
        <w:t>”</w:t>
      </w:r>
      <w:r>
        <w:rPr>
          <w:rFonts w:hint="default" w:ascii="Times New Roman" w:hAnsi="Times New Roman" w:eastAsia="仿宋_GB2312" w:cs="Times New Roman"/>
        </w:rPr>
        <w:t>明查暗访，召开警示会，播放警示教育片，剖析深层次原因，通报工作问题不足，传递工作压力，提出建议措施。</w:t>
      </w:r>
    </w:p>
    <w:p>
      <w:pPr>
        <w:keepNext w:val="0"/>
        <w:keepLines w:val="0"/>
        <w:pageBreakBefore w:val="0"/>
        <w:widowControl w:val="0"/>
        <w:kinsoku/>
        <w:wordWrap/>
        <w:overflowPunct/>
        <w:topLinePunct w:val="0"/>
        <w:bidi w:val="0"/>
        <w:spacing w:line="560" w:lineRule="exact"/>
        <w:ind w:firstLine="632" w:firstLineChars="200"/>
        <w:textAlignment w:val="auto"/>
        <w:outlineLvl w:val="0"/>
        <w:rPr>
          <w:rFonts w:hint="eastAsia" w:ascii="黑体" w:hAnsi="黑体" w:eastAsia="黑体" w:cs="黑体"/>
        </w:rPr>
      </w:pPr>
      <w:r>
        <w:rPr>
          <w:rFonts w:hint="eastAsia" w:ascii="黑体" w:hAnsi="黑体" w:eastAsia="黑体" w:cs="黑体"/>
        </w:rPr>
        <w:t>六、工作步骤</w:t>
      </w:r>
    </w:p>
    <w:p>
      <w:pPr>
        <w:keepNext w:val="0"/>
        <w:keepLines w:val="0"/>
        <w:pageBreakBefore w:val="0"/>
        <w:widowControl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rPr>
      </w:pPr>
      <w:r>
        <w:rPr>
          <w:rFonts w:hint="eastAsia" w:ascii="楷体" w:hAnsi="楷体" w:eastAsia="楷体" w:cs="楷体"/>
        </w:rPr>
        <w:t>（一）动员部署</w:t>
      </w:r>
      <w:r>
        <w:rPr>
          <w:rFonts w:hint="default" w:ascii="Times New Roman" w:hAnsi="Times New Roman" w:eastAsia="楷体" w:cs="Times New Roman"/>
        </w:rPr>
        <w:t>（2024年2月6日前）</w:t>
      </w:r>
      <w:r>
        <w:rPr>
          <w:rFonts w:hint="eastAsia" w:ascii="楷体" w:hAnsi="楷体" w:eastAsia="楷体" w:cs="楷体"/>
        </w:rPr>
        <w:t>。</w:t>
      </w:r>
      <w:r>
        <w:rPr>
          <w:rFonts w:hint="eastAsia" w:ascii="Times New Roman" w:hAnsi="Times New Roman" w:eastAsia="仿宋_GB2312" w:cs="Times New Roman"/>
          <w:lang w:eastAsia="zh-CN"/>
        </w:rPr>
        <w:t>镇政府制定</w:t>
      </w:r>
      <w:r>
        <w:rPr>
          <w:rFonts w:hint="default" w:ascii="Times New Roman" w:hAnsi="Times New Roman" w:eastAsia="仿宋_GB2312" w:cs="Times New Roman"/>
        </w:rPr>
        <w:t>行动方案，明确整治范围和整治重点，细化任务分工和工作责任，作出专题部署发动</w:t>
      </w:r>
      <w:r>
        <w:rPr>
          <w:rFonts w:hint="eastAsia" w:cs="Times New Roman"/>
          <w:lang w:eastAsia="zh-CN"/>
        </w:rPr>
        <w:t>，</w:t>
      </w:r>
      <w:r>
        <w:rPr>
          <w:rFonts w:hint="default" w:ascii="Times New Roman" w:hAnsi="Times New Roman" w:eastAsia="仿宋_GB2312" w:cs="Times New Roman"/>
        </w:rPr>
        <w:t>向社会广泛发布消防安全大整治通告，形成强大除患攻坚声势。</w:t>
      </w:r>
    </w:p>
    <w:p>
      <w:pPr>
        <w:keepNext w:val="0"/>
        <w:keepLines w:val="0"/>
        <w:pageBreakBefore w:val="0"/>
        <w:widowControl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rPr>
      </w:pPr>
      <w:r>
        <w:rPr>
          <w:rFonts w:hint="default" w:ascii="楷体" w:hAnsi="楷体" w:eastAsia="楷体" w:cs="楷体"/>
        </w:rPr>
        <w:t>（二）除患攻坚</w:t>
      </w:r>
      <w:r>
        <w:rPr>
          <w:rFonts w:hint="default" w:ascii="Times New Roman" w:hAnsi="Times New Roman" w:eastAsia="楷体" w:cs="Times New Roman"/>
        </w:rPr>
        <w:t>（2024年3月中旬前）</w:t>
      </w:r>
      <w:r>
        <w:rPr>
          <w:rFonts w:hint="default" w:ascii="楷体" w:hAnsi="楷体" w:eastAsia="楷体" w:cs="楷体"/>
        </w:rPr>
        <w:t>。</w:t>
      </w:r>
      <w:r>
        <w:rPr>
          <w:rFonts w:hint="default" w:ascii="Times New Roman" w:hAnsi="Times New Roman" w:eastAsia="仿宋_GB2312" w:cs="Times New Roman"/>
        </w:rPr>
        <w:t>按照除患攻坚大整治行动部署，集中开展大排查、大整治、大曝光、大演练、大约谈、大督导</w:t>
      </w:r>
      <w:r>
        <w:rPr>
          <w:rFonts w:hint="eastAsia" w:cs="Times New Roman"/>
          <w:lang w:eastAsia="zh-CN"/>
        </w:rPr>
        <w:t>“</w:t>
      </w:r>
      <w:r>
        <w:rPr>
          <w:rFonts w:hint="default" w:ascii="Times New Roman" w:hAnsi="Times New Roman" w:eastAsia="仿宋_GB2312" w:cs="Times New Roman"/>
        </w:rPr>
        <w:t>六个集中行动</w:t>
      </w:r>
      <w:r>
        <w:rPr>
          <w:rFonts w:hint="eastAsia" w:cs="Times New Roman"/>
          <w:lang w:eastAsia="zh-CN"/>
        </w:rPr>
        <w:t>”</w:t>
      </w:r>
      <w:r>
        <w:rPr>
          <w:rFonts w:hint="default" w:ascii="Times New Roman" w:hAnsi="Times New Roman" w:eastAsia="仿宋_GB2312" w:cs="Times New Roman"/>
        </w:rPr>
        <w:t>，全面排查整治三类重点场所突出风险隐患，严格落实整治重点要求，确保除患攻坚大整治行动取得实效。要整合发动公安派出所、</w:t>
      </w:r>
      <w:r>
        <w:rPr>
          <w:rFonts w:hint="default" w:ascii="Times New Roman" w:hAnsi="Times New Roman" w:eastAsia="仿宋_GB2312" w:cs="Times New Roman"/>
          <w:szCs w:val="26"/>
        </w:rPr>
        <w:t>基层消防工作站</w:t>
      </w:r>
      <w:r>
        <w:rPr>
          <w:rFonts w:hint="default" w:ascii="Times New Roman" w:hAnsi="Times New Roman" w:eastAsia="仿宋_GB2312" w:cs="Times New Roman"/>
        </w:rPr>
        <w:t>、综合执法队伍、网格员等各方力量，组织全面培训，提高发现问题和解决问题能力。</w:t>
      </w:r>
    </w:p>
    <w:p>
      <w:pPr>
        <w:keepNext w:val="0"/>
        <w:keepLines w:val="0"/>
        <w:pageBreakBefore w:val="0"/>
        <w:widowControl w:val="0"/>
        <w:kinsoku/>
        <w:wordWrap/>
        <w:overflowPunct/>
        <w:topLinePunct w:val="0"/>
        <w:bidi w:val="0"/>
        <w:spacing w:line="560" w:lineRule="exact"/>
        <w:ind w:firstLine="632" w:firstLineChars="200"/>
        <w:textAlignment w:val="auto"/>
        <w:rPr>
          <w:rFonts w:hint="default" w:ascii="Times New Roman" w:hAnsi="Times New Roman" w:eastAsia="仿宋_GB2312" w:cs="Times New Roman"/>
        </w:rPr>
      </w:pPr>
      <w:r>
        <w:rPr>
          <w:rFonts w:hint="default" w:ascii="楷体" w:hAnsi="楷体" w:eastAsia="楷体" w:cs="楷体"/>
        </w:rPr>
        <w:t>（三）验收评估</w:t>
      </w:r>
      <w:r>
        <w:rPr>
          <w:rFonts w:hint="default" w:ascii="Times New Roman" w:hAnsi="Times New Roman" w:eastAsia="楷体" w:cs="Times New Roman"/>
        </w:rPr>
        <w:t>（2024年3月底前）</w:t>
      </w:r>
      <w:r>
        <w:rPr>
          <w:rFonts w:hint="default" w:ascii="楷体" w:hAnsi="楷体" w:eastAsia="楷体" w:cs="楷体"/>
        </w:rPr>
        <w:t>。</w:t>
      </w:r>
      <w:r>
        <w:rPr>
          <w:rFonts w:hint="eastAsia" w:cs="Times New Roman"/>
          <w:lang w:val="en-US" w:eastAsia="zh-CN"/>
        </w:rPr>
        <w:t>镇</w:t>
      </w:r>
      <w:r>
        <w:rPr>
          <w:rFonts w:hint="default" w:ascii="Times New Roman" w:hAnsi="Times New Roman" w:eastAsia="仿宋_GB2312" w:cs="Times New Roman"/>
          <w:lang w:val="en-US" w:eastAsia="zh-CN"/>
        </w:rPr>
        <w:t>安委办和</w:t>
      </w:r>
      <w:r>
        <w:rPr>
          <w:rFonts w:hint="eastAsia" w:cs="Times New Roman"/>
          <w:lang w:val="en-US" w:eastAsia="zh-CN"/>
        </w:rPr>
        <w:t>镇</w:t>
      </w:r>
      <w:r>
        <w:rPr>
          <w:rFonts w:hint="default" w:ascii="Times New Roman" w:hAnsi="Times New Roman" w:eastAsia="仿宋_GB2312" w:cs="Times New Roman"/>
          <w:lang w:val="en-US" w:eastAsia="zh-CN"/>
        </w:rPr>
        <w:t>消委办将</w:t>
      </w:r>
      <w:r>
        <w:rPr>
          <w:rFonts w:hint="default" w:ascii="Times New Roman" w:hAnsi="Times New Roman" w:eastAsia="仿宋_GB2312" w:cs="Times New Roman"/>
        </w:rPr>
        <w:t>组织对除患攻坚大整治行动进行验收评估，总结成效，通报问题。验收不合格的，要进行重点督办，责成重新组织开展除患攻坚大整治行动。</w:t>
      </w:r>
    </w:p>
    <w:p>
      <w:pPr>
        <w:keepNext w:val="0"/>
        <w:keepLines w:val="0"/>
        <w:pageBreakBefore w:val="0"/>
        <w:widowControl w:val="0"/>
        <w:kinsoku/>
        <w:wordWrap/>
        <w:overflowPunct/>
        <w:topLinePunct w:val="0"/>
        <w:bidi w:val="0"/>
        <w:spacing w:line="560" w:lineRule="exact"/>
        <w:ind w:firstLine="632" w:firstLineChars="200"/>
        <w:textAlignment w:val="auto"/>
        <w:outlineLvl w:val="0"/>
        <w:rPr>
          <w:rFonts w:hint="default" w:ascii="黑体" w:hAnsi="黑体" w:eastAsia="黑体" w:cs="黑体"/>
        </w:rPr>
      </w:pPr>
      <w:r>
        <w:rPr>
          <w:rFonts w:hint="default" w:ascii="黑体" w:hAnsi="黑体" w:eastAsia="黑体" w:cs="黑体"/>
        </w:rPr>
        <w:t>七、工作要求</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rPr>
      </w:pPr>
      <w:r>
        <w:rPr>
          <w:rFonts w:hint="default" w:ascii="楷体" w:hAnsi="楷体" w:eastAsia="楷体" w:cs="楷体"/>
        </w:rPr>
        <w:t>（一）强化组织领导。</w:t>
      </w:r>
      <w:r>
        <w:rPr>
          <w:rFonts w:hint="eastAsia" w:cs="Times New Roman"/>
          <w:lang w:eastAsia="zh-CN"/>
        </w:rPr>
        <w:t>各村、各单位</w:t>
      </w:r>
      <w:r>
        <w:rPr>
          <w:rFonts w:hint="default" w:ascii="Times New Roman" w:hAnsi="Times New Roman" w:eastAsia="仿宋_GB2312" w:cs="Times New Roman"/>
        </w:rPr>
        <w:t>要坚决贯彻落实习近平总书记重要指示精神，进一步树牢安全发展理念，强化风险意识，坚持底线思维，层层抓好除患攻坚大整治行动。要加强组织领导、指挥调度，压紧压实责任，采取各项有效措施，认真排查风险隐患，狠抓大整治工作质效，坚决遏制各类火灾事故多发连发势头，确保人民群众生命财产安全和社会大局稳定。</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rPr>
      </w:pPr>
      <w:r>
        <w:rPr>
          <w:rFonts w:hint="default" w:ascii="楷体" w:hAnsi="楷体" w:eastAsia="楷体" w:cs="楷体"/>
        </w:rPr>
        <w:t>（二）强化统筹推进。</w:t>
      </w:r>
      <w:r>
        <w:rPr>
          <w:rFonts w:hint="eastAsia" w:cs="Times New Roman"/>
          <w:lang w:eastAsia="zh-CN"/>
        </w:rPr>
        <w:t>各村、各单位</w:t>
      </w:r>
      <w:r>
        <w:rPr>
          <w:rFonts w:hint="default" w:ascii="Times New Roman" w:hAnsi="Times New Roman" w:eastAsia="仿宋_GB2312" w:cs="Times New Roman"/>
        </w:rPr>
        <w:t>要将除患攻坚大整治行动与消防安全治本攻坚三年行动、</w:t>
      </w:r>
      <w:r>
        <w:rPr>
          <w:rFonts w:hint="eastAsia" w:cs="Times New Roman"/>
          <w:lang w:eastAsia="zh-CN"/>
        </w:rPr>
        <w:t>“</w:t>
      </w:r>
      <w:r>
        <w:rPr>
          <w:rFonts w:hint="default" w:ascii="Times New Roman" w:hAnsi="Times New Roman" w:eastAsia="仿宋_GB2312" w:cs="Times New Roman"/>
        </w:rPr>
        <w:t>生命至上，隐患必除</w:t>
      </w:r>
      <w:r>
        <w:rPr>
          <w:rFonts w:hint="eastAsia" w:cs="Times New Roman"/>
          <w:lang w:eastAsia="zh-CN"/>
        </w:rPr>
        <w:t>”</w:t>
      </w:r>
      <w:r>
        <w:rPr>
          <w:rFonts w:hint="default" w:ascii="Times New Roman" w:hAnsi="Times New Roman" w:eastAsia="仿宋_GB2312" w:cs="Times New Roman"/>
        </w:rPr>
        <w:t>专项行动、城镇燃气消防安全专项整治以及春节消防安全工作、全国两会消防安保工作等重点任务有效结合、同步推进，强化系统治理、综合治理、源头治理、依法治理。要立即组织开展一次全面的安全风险评估，找准隐患问题集中的重点领域、敏感场所、薄弱环节，采取精准有力措施重拳攻坚，全面排查整治影响消防安全形势稳定，易造成火灾事故发生的突出隐患问题，全力维护本地区、本行业领域消防安全形势平稳。</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rPr>
      </w:pPr>
      <w:r>
        <w:rPr>
          <w:rFonts w:hint="default" w:ascii="楷体" w:hAnsi="楷体" w:eastAsia="楷体" w:cs="楷体"/>
        </w:rPr>
        <w:t>（三）强化监督问效。</w:t>
      </w:r>
      <w:r>
        <w:rPr>
          <w:rFonts w:hint="eastAsia" w:cs="Times New Roman"/>
          <w:lang w:eastAsia="zh-CN"/>
        </w:rPr>
        <w:t>各村、各单位</w:t>
      </w:r>
      <w:r>
        <w:rPr>
          <w:rFonts w:hint="default" w:ascii="Times New Roman" w:hAnsi="Times New Roman" w:eastAsia="仿宋_GB2312" w:cs="Times New Roman"/>
        </w:rPr>
        <w:t>要将除患攻坚大整治行动纳入日常督导检查内容，加强过程监管和责任追究。对存在违法行为的单位和个人，要严格依法查处；涉嫌犯罪的，要依法追究刑事责任。发现行动迟缓、工作敷衍的，查不出问题、发现问题不处理的，要通报批评、整改督办，问题严重的严肃追责问责。除患攻坚大整治行动期间，发生群死群伤火灾事故的，按程序启动责任倒查机制，依规依纪依法严肃追究处理相关责任人员。</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请</w:t>
      </w:r>
      <w:r>
        <w:rPr>
          <w:rFonts w:hint="eastAsia" w:cs="Times New Roman"/>
          <w:lang w:eastAsia="zh-CN"/>
        </w:rPr>
        <w:t>各村</w:t>
      </w:r>
      <w:r>
        <w:rPr>
          <w:rFonts w:hint="default" w:ascii="Times New Roman" w:hAnsi="Times New Roman" w:eastAsia="仿宋_GB2312" w:cs="Times New Roman"/>
        </w:rPr>
        <w:t>及</w:t>
      </w:r>
      <w:r>
        <w:rPr>
          <w:rFonts w:hint="eastAsia" w:cs="Times New Roman"/>
          <w:lang w:val="en-US" w:eastAsia="zh-CN"/>
        </w:rPr>
        <w:t>各单位</w:t>
      </w:r>
      <w:r>
        <w:rPr>
          <w:rFonts w:hint="default" w:ascii="Times New Roman" w:hAnsi="Times New Roman" w:eastAsia="仿宋_GB2312" w:cs="Times New Roman"/>
        </w:rPr>
        <w:t>及时将有关情况报送</w:t>
      </w:r>
      <w:r>
        <w:rPr>
          <w:rFonts w:hint="eastAsia" w:cs="Times New Roman"/>
          <w:lang w:val="en-US" w:eastAsia="zh-CN"/>
        </w:rPr>
        <w:t>镇</w:t>
      </w:r>
      <w:r>
        <w:rPr>
          <w:rFonts w:hint="default" w:ascii="Times New Roman" w:hAnsi="Times New Roman" w:eastAsia="仿宋_GB2312" w:cs="Times New Roman"/>
        </w:rPr>
        <w:t>安委会办公室、</w:t>
      </w:r>
      <w:r>
        <w:rPr>
          <w:rFonts w:hint="eastAsia" w:cs="Times New Roman"/>
          <w:lang w:val="en-US" w:eastAsia="zh-CN"/>
        </w:rPr>
        <w:t>镇</w:t>
      </w:r>
      <w:r>
        <w:rPr>
          <w:rFonts w:hint="default" w:ascii="Times New Roman" w:hAnsi="Times New Roman" w:eastAsia="仿宋_GB2312" w:cs="Times New Roman"/>
        </w:rPr>
        <w:t>消委会办公室，2月底前报送工作进度和小结，3月底前报送工作总结，重大案件、重要情况随时报送。</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联系人：</w:t>
      </w:r>
      <w:r>
        <w:rPr>
          <w:rFonts w:hint="eastAsia" w:cs="Times New Roman"/>
          <w:lang w:val="en-US" w:eastAsia="zh-CN"/>
        </w:rPr>
        <w:t>尹徐阳</w:t>
      </w:r>
      <w:r>
        <w:rPr>
          <w:rFonts w:hint="default" w:ascii="Times New Roman" w:hAnsi="Times New Roman" w:eastAsia="仿宋_GB2312" w:cs="Times New Roman"/>
        </w:rPr>
        <w:t>，电话：</w:t>
      </w:r>
      <w:r>
        <w:rPr>
          <w:rFonts w:hint="eastAsia" w:cs="Times New Roman"/>
          <w:lang w:val="en-US" w:eastAsia="zh-CN"/>
        </w:rPr>
        <w:t>80707653</w:t>
      </w:r>
      <w:r>
        <w:rPr>
          <w:rFonts w:hint="default" w:ascii="Times New Roman" w:hAnsi="Times New Roman" w:eastAsia="仿宋_GB2312" w:cs="Times New Roman"/>
        </w:rPr>
        <w:t>，邮箱：lzzajs2011@126.co</w:t>
      </w:r>
      <w:r>
        <w:rPr>
          <w:rFonts w:hint="eastAsia" w:cs="Times New Roman"/>
          <w:lang w:val="en-US" w:eastAsia="zh-CN"/>
        </w:rPr>
        <w:t>m</w:t>
      </w:r>
      <w:r>
        <w:rPr>
          <w:rFonts w:hint="default" w:ascii="Times New Roman" w:hAnsi="Times New Roman" w:eastAsia="仿宋_GB2312" w:cs="Times New Roman"/>
        </w:rPr>
        <w:t>。</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附件：1.</w:t>
      </w:r>
      <w:r>
        <w:rPr>
          <w:rFonts w:hint="eastAsia" w:cs="Times New Roman"/>
          <w:lang w:eastAsia="zh-CN"/>
        </w:rPr>
        <w:t>“</w:t>
      </w:r>
      <w:r>
        <w:rPr>
          <w:rFonts w:hint="default" w:ascii="Times New Roman" w:hAnsi="Times New Roman" w:eastAsia="仿宋_GB2312" w:cs="Times New Roman"/>
        </w:rPr>
        <w:t>九小场所</w:t>
      </w:r>
      <w:r>
        <w:rPr>
          <w:rFonts w:hint="eastAsia" w:cs="Times New Roman"/>
          <w:lang w:eastAsia="zh-CN"/>
        </w:rPr>
        <w:t>”</w:t>
      </w:r>
      <w:r>
        <w:rPr>
          <w:rFonts w:hint="default" w:ascii="Times New Roman" w:hAnsi="Times New Roman" w:eastAsia="仿宋_GB2312" w:cs="Times New Roman"/>
        </w:rPr>
        <w:t>范围</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2.单位消防安全集中除患攻坚大整治行动自查表</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3.三类重点场所消防安全整治指南</w:t>
      </w:r>
    </w:p>
    <w:p>
      <w:pPr>
        <w:keepNext w:val="0"/>
        <w:keepLines w:val="0"/>
        <w:pageBreakBefore w:val="0"/>
        <w:widowControl w:val="0"/>
        <w:kinsoku/>
        <w:wordWrap/>
        <w:overflowPunct/>
        <w:topLinePunct w:val="0"/>
        <w:bidi w:val="0"/>
        <w:adjustRightInd w:val="0"/>
        <w:snapToGrid w:val="0"/>
        <w:spacing w:line="560" w:lineRule="exact"/>
        <w:ind w:firstLine="632" w:firstLineChars="200"/>
        <w:textAlignment w:val="auto"/>
        <w:rPr>
          <w:rFonts w:hint="eastAsia" w:eastAsia="方正仿宋_GBK"/>
        </w:rPr>
      </w:pPr>
      <w:r>
        <w:rPr>
          <w:rFonts w:hint="default" w:ascii="Times New Roman" w:hAnsi="Times New Roman" w:eastAsia="仿宋_GB2312" w:cs="Times New Roman"/>
        </w:rPr>
        <w:t xml:space="preserve">      4.单位消防安全集中除患攻坚大整治行动排查登记表</w:t>
      </w:r>
    </w:p>
    <w:p>
      <w:pPr>
        <w:adjustRightInd w:val="0"/>
        <w:snapToGrid w:val="0"/>
        <w:spacing w:line="590" w:lineRule="exact"/>
        <w:ind w:firstLine="632" w:firstLineChars="200"/>
        <w:rPr>
          <w:rFonts w:hint="eastAsia" w:eastAsia="方正仿宋_GBK"/>
        </w:rPr>
      </w:pPr>
    </w:p>
    <w:p>
      <w:pPr>
        <w:adjustRightInd w:val="0"/>
        <w:snapToGrid w:val="0"/>
        <w:spacing w:line="590" w:lineRule="exact"/>
        <w:ind w:firstLine="632" w:firstLineChars="200"/>
        <w:rPr>
          <w:rFonts w:eastAsia="方正仿宋_GBK"/>
        </w:rPr>
        <w:sectPr>
          <w:footerReference r:id="rId4" w:type="default"/>
          <w:footerReference r:id="rId5" w:type="even"/>
          <w:pgSz w:w="11906" w:h="16838"/>
          <w:pgMar w:top="1559" w:right="1588" w:bottom="2098" w:left="1474" w:header="851" w:footer="992" w:gutter="0"/>
          <w:cols w:space="720" w:num="1"/>
          <w:docGrid w:type="linesAndChars" w:linePitch="579" w:charSpace="-849"/>
        </w:sectPr>
      </w:pPr>
    </w:p>
    <w:p>
      <w:pPr>
        <w:pStyle w:val="13"/>
        <w:spacing w:line="600" w:lineRule="exact"/>
        <w:rPr>
          <w:rFonts w:hint="eastAsia" w:ascii="黑体" w:hAnsi="黑体" w:eastAsia="黑体" w:cs="黑体"/>
          <w:color w:val="auto"/>
          <w:sz w:val="32"/>
        </w:rPr>
      </w:pPr>
      <w:r>
        <w:rPr>
          <w:rFonts w:hint="eastAsia" w:ascii="黑体" w:hAnsi="黑体" w:eastAsia="黑体" w:cs="黑体"/>
          <w:color w:val="auto"/>
          <w:sz w:val="32"/>
        </w:rPr>
        <w:t>附件1</w:t>
      </w:r>
    </w:p>
    <w:p>
      <w:pPr>
        <w:overflowPunct w:val="0"/>
        <w:topLinePunct/>
        <w:autoSpaceDE w:val="0"/>
        <w:autoSpaceDN w:val="0"/>
        <w:adjustRightInd w:val="0"/>
        <w:snapToGrid w:val="0"/>
        <w:spacing w:line="540" w:lineRule="exact"/>
        <w:jc w:val="center"/>
        <w:rPr>
          <w:rFonts w:hint="eastAsia" w:eastAsia="方正小标宋_GBK"/>
          <w:sz w:val="44"/>
          <w:szCs w:val="44"/>
        </w:rPr>
      </w:pPr>
      <w:r>
        <w:rPr>
          <w:rFonts w:hint="eastAsia" w:eastAsia="方正小标宋_GBK"/>
          <w:sz w:val="44"/>
          <w:szCs w:val="44"/>
          <w:lang w:eastAsia="zh-CN"/>
        </w:rPr>
        <w:t>“</w:t>
      </w:r>
      <w:r>
        <w:rPr>
          <w:rFonts w:hint="eastAsia" w:eastAsia="方正小标宋_GBK"/>
          <w:sz w:val="44"/>
          <w:szCs w:val="44"/>
        </w:rPr>
        <w:t>九小场所</w:t>
      </w:r>
      <w:r>
        <w:rPr>
          <w:rFonts w:hint="eastAsia" w:eastAsia="方正小标宋_GBK"/>
          <w:sz w:val="44"/>
          <w:szCs w:val="44"/>
          <w:lang w:eastAsia="zh-CN"/>
        </w:rPr>
        <w:t>”</w:t>
      </w:r>
      <w:r>
        <w:rPr>
          <w:rFonts w:hint="eastAsia" w:eastAsia="方正小标宋_GBK"/>
          <w:sz w:val="44"/>
          <w:szCs w:val="44"/>
        </w:rPr>
        <w:t>范围</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eastAsia" w:ascii="黑体" w:hAnsi="黑体" w:eastAsia="黑体" w:cs="黑体"/>
        </w:rPr>
        <w:t>一、小商店：</w:t>
      </w:r>
      <w:r>
        <w:rPr>
          <w:rFonts w:hint="default" w:ascii="Times New Roman" w:hAnsi="Times New Roman" w:eastAsia="仿宋_GB2312" w:cs="Times New Roman"/>
        </w:rPr>
        <w:t>建筑面积在100平方米以下（含本数）且经营可燃商品的商店。</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default" w:ascii="黑体" w:hAnsi="黑体" w:eastAsia="黑体" w:cs="黑体"/>
        </w:rPr>
        <w:t>二、小市场：</w:t>
      </w:r>
      <w:r>
        <w:rPr>
          <w:rFonts w:hint="default" w:ascii="Times New Roman" w:hAnsi="Times New Roman" w:eastAsia="仿宋_GB2312" w:cs="Times New Roman"/>
        </w:rPr>
        <w:t>建筑面积在100平方米以下（含本数）且经营可燃商品的市场。</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default" w:ascii="黑体" w:hAnsi="黑体" w:eastAsia="黑体" w:cs="黑体"/>
        </w:rPr>
        <w:t>三、小餐饮：</w:t>
      </w:r>
      <w:r>
        <w:rPr>
          <w:rFonts w:hint="default" w:ascii="Times New Roman" w:hAnsi="Times New Roman" w:eastAsia="仿宋_GB2312" w:cs="Times New Roman"/>
        </w:rPr>
        <w:t>就餐位在30座以下（含本数）或就餐营业面积在100平方米以下（不含本数）的餐饮场所。</w:t>
      </w:r>
    </w:p>
    <w:p>
      <w:pPr>
        <w:overflowPunct w:val="0"/>
        <w:topLinePunct/>
        <w:autoSpaceDE w:val="0"/>
        <w:autoSpaceDN w:val="0"/>
        <w:adjustRightInd w:val="0"/>
        <w:snapToGrid w:val="0"/>
        <w:spacing w:line="540" w:lineRule="exact"/>
        <w:ind w:firstLine="623"/>
        <w:outlineLvl w:val="0"/>
        <w:rPr>
          <w:rFonts w:hint="default" w:ascii="黑体" w:hAnsi="黑体" w:eastAsia="黑体" w:cs="黑体"/>
        </w:rPr>
      </w:pPr>
      <w:r>
        <w:rPr>
          <w:rFonts w:hint="default" w:ascii="黑体" w:hAnsi="黑体" w:eastAsia="黑体" w:cs="黑体"/>
        </w:rPr>
        <w:t>四、非寄宿制的学校、托儿所、幼儿园。</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default" w:ascii="黑体" w:hAnsi="黑体" w:eastAsia="黑体" w:cs="黑体"/>
        </w:rPr>
        <w:t>五、小生产加工企业：</w:t>
      </w:r>
      <w:r>
        <w:rPr>
          <w:rFonts w:hint="default" w:ascii="Times New Roman" w:hAnsi="Times New Roman" w:eastAsia="仿宋_GB2312" w:cs="Times New Roman"/>
        </w:rPr>
        <w:t>固定资产（建筑、设备、原材料等）价值在200万以下（含本数）的企业。</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default" w:ascii="黑体" w:hAnsi="黑体" w:eastAsia="黑体" w:cs="黑体"/>
        </w:rPr>
        <w:t>六、小易燃易爆单位：</w:t>
      </w:r>
      <w:r>
        <w:rPr>
          <w:rFonts w:hint="default" w:ascii="Times New Roman" w:hAnsi="Times New Roman" w:eastAsia="仿宋_GB2312" w:cs="Times New Roman"/>
        </w:rPr>
        <w:t>使用易燃易爆化学物品且储存量在1吨以下的单位。</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default" w:ascii="黑体" w:hAnsi="黑体" w:eastAsia="黑体" w:cs="黑体"/>
        </w:rPr>
        <w:t>七、小汽车库停车场：</w:t>
      </w:r>
      <w:r>
        <w:rPr>
          <w:rFonts w:hint="default" w:ascii="Times New Roman" w:hAnsi="Times New Roman" w:eastAsia="仿宋_GB2312" w:cs="Times New Roman"/>
        </w:rPr>
        <w:t>车位在10辆以下的汽车库和车位在30辆以下的停车场。</w:t>
      </w:r>
    </w:p>
    <w:p>
      <w:pPr>
        <w:overflowPunct w:val="0"/>
        <w:topLinePunct/>
        <w:autoSpaceDE w:val="0"/>
        <w:autoSpaceDN w:val="0"/>
        <w:adjustRightInd w:val="0"/>
        <w:snapToGrid w:val="0"/>
        <w:spacing w:line="540" w:lineRule="exact"/>
        <w:ind w:firstLine="623"/>
        <w:outlineLvl w:val="0"/>
        <w:rPr>
          <w:rFonts w:hint="default" w:ascii="黑体" w:hAnsi="黑体" w:eastAsia="黑体" w:cs="黑体"/>
        </w:rPr>
      </w:pPr>
      <w:r>
        <w:rPr>
          <w:rFonts w:hint="default" w:ascii="黑体" w:hAnsi="黑体" w:eastAsia="黑体" w:cs="黑体"/>
        </w:rPr>
        <w:t>八、小仓储场所</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default" w:ascii="Times New Roman" w:hAnsi="Times New Roman" w:eastAsia="仿宋_GB2312" w:cs="Times New Roman"/>
        </w:rPr>
        <w:t>（一）总储量在100吨以下（含本数）的粮库；</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default" w:ascii="Times New Roman" w:hAnsi="Times New Roman" w:eastAsia="仿宋_GB2312" w:cs="Times New Roman"/>
        </w:rPr>
        <w:t>（二）总储量在50吨以下（含本数）的棉库；</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default" w:ascii="Times New Roman" w:hAnsi="Times New Roman" w:eastAsia="仿宋_GB2312" w:cs="Times New Roman"/>
        </w:rPr>
        <w:t>（三）总储量在1000立方米以下（含本数）的木材堆场；</w:t>
      </w:r>
    </w:p>
    <w:p>
      <w:pPr>
        <w:overflowPunct w:val="0"/>
        <w:topLinePunct/>
        <w:autoSpaceDE w:val="0"/>
        <w:autoSpaceDN w:val="0"/>
        <w:adjustRightInd w:val="0"/>
        <w:snapToGrid w:val="0"/>
        <w:spacing w:line="540" w:lineRule="exact"/>
        <w:ind w:firstLine="623"/>
        <w:outlineLvl w:val="0"/>
        <w:rPr>
          <w:rFonts w:hint="default" w:ascii="Times New Roman" w:hAnsi="Times New Roman" w:eastAsia="仿宋_GB2312" w:cs="Times New Roman"/>
        </w:rPr>
      </w:pPr>
      <w:r>
        <w:rPr>
          <w:rFonts w:hint="default" w:ascii="Times New Roman" w:hAnsi="Times New Roman" w:eastAsia="仿宋_GB2312" w:cs="Times New Roman"/>
        </w:rPr>
        <w:t>（四）总储存价值在50万元以下（含本数）的可燃物品仓库、堆场、中转库（站）。</w:t>
      </w:r>
    </w:p>
    <w:p>
      <w:pPr>
        <w:adjustRightInd w:val="0"/>
        <w:snapToGrid w:val="0"/>
        <w:spacing w:line="540" w:lineRule="exact"/>
        <w:ind w:firstLine="632" w:firstLineChars="200"/>
        <w:rPr>
          <w:rFonts w:hint="default" w:ascii="Times New Roman" w:hAnsi="Times New Roman" w:eastAsia="仿宋_GB2312" w:cs="Times New Roman"/>
        </w:rPr>
      </w:pPr>
      <w:r>
        <w:rPr>
          <w:rFonts w:hint="default" w:ascii="黑体" w:hAnsi="黑体" w:eastAsia="黑体" w:cs="黑体"/>
        </w:rPr>
        <w:t>九、快递场所：</w:t>
      </w:r>
      <w:r>
        <w:rPr>
          <w:rFonts w:hint="default" w:ascii="Times New Roman" w:hAnsi="Times New Roman" w:eastAsia="仿宋_GB2312" w:cs="Times New Roman"/>
        </w:rPr>
        <w:t>建筑面积在100平方米以下（含本数）的快递场所。</w:t>
      </w:r>
    </w:p>
    <w:p>
      <w:pPr>
        <w:pStyle w:val="13"/>
        <w:spacing w:line="600" w:lineRule="exact"/>
        <w:rPr>
          <w:rFonts w:hint="eastAsia" w:ascii="方正黑体_GBK" w:hAnsi="方正黑体_GBK" w:eastAsia="方正黑体_GBK" w:cs="方正黑体_GBK"/>
          <w:color w:val="auto"/>
          <w:sz w:val="32"/>
        </w:rPr>
      </w:pPr>
      <w:r>
        <w:rPr>
          <w:rFonts w:eastAsia="方正仿宋_GBK"/>
          <w:color w:val="auto"/>
          <w:sz w:val="32"/>
          <w:szCs w:val="32"/>
        </w:rPr>
        <w:br w:type="page"/>
      </w:r>
      <w:r>
        <w:rPr>
          <w:rFonts w:hint="eastAsia" w:ascii="方正黑体_GBK" w:hAnsi="方正黑体_GBK" w:eastAsia="方正黑体_GBK" w:cs="方正黑体_GBK"/>
          <w:color w:val="auto"/>
          <w:sz w:val="32"/>
        </w:rPr>
        <w:t>附件2</w:t>
      </w:r>
    </w:p>
    <w:p>
      <w:pPr>
        <w:tabs>
          <w:tab w:val="center" w:pos="4535"/>
          <w:tab w:val="left" w:pos="7905"/>
        </w:tabs>
        <w:overflowPunct w:val="0"/>
        <w:topLinePunct/>
        <w:autoSpaceDE w:val="0"/>
        <w:autoSpaceDN w:val="0"/>
        <w:adjustRightInd w:val="0"/>
        <w:snapToGrid w:val="0"/>
        <w:jc w:val="center"/>
        <w:rPr>
          <w:rFonts w:eastAsia="方正小标宋_GBK"/>
          <w:spacing w:val="-10"/>
          <w:sz w:val="36"/>
          <w:szCs w:val="44"/>
        </w:rPr>
      </w:pPr>
      <w:r>
        <w:rPr>
          <w:rFonts w:hint="eastAsia" w:eastAsia="方正小标宋_GBK"/>
          <w:spacing w:val="-10"/>
          <w:sz w:val="36"/>
          <w:szCs w:val="44"/>
        </w:rPr>
        <w:t>单位消防安全集中除患攻坚大整治行动自查表</w:t>
      </w:r>
    </w:p>
    <w:p>
      <w:pPr>
        <w:tabs>
          <w:tab w:val="center" w:pos="4535"/>
          <w:tab w:val="left" w:pos="7905"/>
        </w:tabs>
        <w:overflowPunct w:val="0"/>
        <w:topLinePunct/>
        <w:autoSpaceDE w:val="0"/>
        <w:autoSpaceDN w:val="0"/>
        <w:adjustRightInd w:val="0"/>
        <w:snapToGrid w:val="0"/>
        <w:rPr>
          <w:rFonts w:eastAsia="方正小标宋_GBK"/>
          <w:sz w:val="24"/>
          <w:szCs w:val="24"/>
        </w:rPr>
      </w:pPr>
      <w:r>
        <w:rPr>
          <w:rFonts w:hint="eastAsia" w:eastAsia="方正仿宋_GBK"/>
          <w:sz w:val="24"/>
          <w:szCs w:val="24"/>
        </w:rPr>
        <w:t>单位名称（盖章）：</w:t>
      </w:r>
      <w:r>
        <w:rPr>
          <w:rFonts w:eastAsia="方正仿宋_GBK"/>
          <w:sz w:val="24"/>
          <w:szCs w:val="24"/>
        </w:rPr>
        <w:t xml:space="preserve">             </w:t>
      </w:r>
      <w:r>
        <w:rPr>
          <w:rFonts w:hint="eastAsia" w:eastAsia="方正仿宋_GBK"/>
          <w:sz w:val="24"/>
          <w:szCs w:val="24"/>
        </w:rPr>
        <w:t xml:space="preserve"> </w:t>
      </w:r>
      <w:r>
        <w:rPr>
          <w:rFonts w:eastAsia="方正仿宋_GBK"/>
          <w:sz w:val="24"/>
          <w:szCs w:val="24"/>
        </w:rPr>
        <w:t xml:space="preserve">  </w:t>
      </w:r>
      <w:r>
        <w:rPr>
          <w:rFonts w:hint="eastAsia" w:eastAsia="方正仿宋_GBK"/>
          <w:sz w:val="24"/>
          <w:szCs w:val="24"/>
        </w:rPr>
        <w:t>单位法定代表人（签字）：</w:t>
      </w:r>
      <w:r>
        <w:rPr>
          <w:rFonts w:eastAsia="方正仿宋_GBK"/>
          <w:sz w:val="24"/>
          <w:szCs w:val="24"/>
        </w:rPr>
        <w:t xml:space="preserve">                  </w:t>
      </w:r>
    </w:p>
    <w:p>
      <w:pPr>
        <w:spacing w:line="300" w:lineRule="exact"/>
        <w:rPr>
          <w:rFonts w:eastAsia="宋体"/>
          <w:sz w:val="24"/>
          <w:szCs w:val="24"/>
        </w:rPr>
      </w:pPr>
      <w:r>
        <w:rPr>
          <w:rFonts w:hint="eastAsia" w:eastAsia="方正仿宋_GBK"/>
          <w:sz w:val="24"/>
          <w:szCs w:val="24"/>
        </w:rPr>
        <w:t>单位类别：</w:t>
      </w:r>
      <w:r>
        <w:rPr>
          <w:sz w:val="24"/>
          <w:szCs w:val="24"/>
        </w:rPr>
        <w:t>□</w:t>
      </w:r>
      <w:r>
        <w:rPr>
          <w:rFonts w:hint="eastAsia" w:eastAsia="方正仿宋_GBK"/>
          <w:sz w:val="24"/>
          <w:szCs w:val="24"/>
          <w:lang w:eastAsia="zh-CN"/>
        </w:rPr>
        <w:t>“</w:t>
      </w:r>
      <w:r>
        <w:rPr>
          <w:rFonts w:hint="eastAsia" w:eastAsia="方正仿宋_GBK"/>
          <w:sz w:val="24"/>
          <w:szCs w:val="24"/>
        </w:rPr>
        <w:t>九小场所</w:t>
      </w:r>
      <w:r>
        <w:rPr>
          <w:rFonts w:hint="eastAsia" w:eastAsia="方正仿宋_GBK"/>
          <w:sz w:val="24"/>
          <w:szCs w:val="24"/>
          <w:lang w:eastAsia="zh-CN"/>
        </w:rPr>
        <w:t>”</w:t>
      </w:r>
      <w:r>
        <w:rPr>
          <w:rFonts w:hint="eastAsia" w:eastAsia="方正仿宋_GBK"/>
          <w:sz w:val="24"/>
          <w:szCs w:val="24"/>
        </w:rPr>
        <w:t>；</w:t>
      </w:r>
      <w:r>
        <w:rPr>
          <w:rFonts w:eastAsia="方正仿宋_GBK"/>
          <w:sz w:val="24"/>
          <w:szCs w:val="24"/>
        </w:rPr>
        <w:t xml:space="preserve">  </w:t>
      </w:r>
      <w:r>
        <w:rPr>
          <w:rFonts w:hint="eastAsia" w:eastAsia="方正仿宋_GBK"/>
          <w:sz w:val="24"/>
          <w:szCs w:val="24"/>
        </w:rPr>
        <w:t xml:space="preserve"> </w:t>
      </w:r>
      <w:r>
        <w:rPr>
          <w:rFonts w:eastAsia="方正仿宋_GBK"/>
          <w:sz w:val="24"/>
          <w:szCs w:val="24"/>
        </w:rPr>
        <w:t xml:space="preserve">  </w:t>
      </w:r>
      <w:r>
        <w:rPr>
          <w:sz w:val="24"/>
          <w:szCs w:val="24"/>
        </w:rPr>
        <w:t>□</w:t>
      </w:r>
      <w:r>
        <w:rPr>
          <w:rFonts w:hint="eastAsia" w:eastAsia="方正仿宋_GBK"/>
          <w:sz w:val="24"/>
          <w:szCs w:val="24"/>
        </w:rPr>
        <w:t>多业态混合生产经营场所；</w:t>
      </w:r>
      <w:r>
        <w:rPr>
          <w:rFonts w:eastAsia="方正仿宋_GBK"/>
          <w:sz w:val="24"/>
          <w:szCs w:val="24"/>
        </w:rPr>
        <w:t xml:space="preserve">       </w:t>
      </w:r>
      <w:r>
        <w:rPr>
          <w:sz w:val="24"/>
          <w:szCs w:val="24"/>
        </w:rPr>
        <w:t>□</w:t>
      </w:r>
      <w:r>
        <w:rPr>
          <w:rFonts w:hint="eastAsia" w:eastAsia="方正仿宋_GBK"/>
          <w:sz w:val="24"/>
          <w:szCs w:val="24"/>
        </w:rPr>
        <w:t>人员密集场所</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0"/>
        <w:gridCol w:w="5142"/>
        <w:gridCol w:w="1347"/>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19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18"/>
                <w:szCs w:val="18"/>
              </w:rPr>
            </w:pPr>
            <w:r>
              <w:rPr>
                <w:rFonts w:hint="eastAsia" w:eastAsia="黑体"/>
                <w:sz w:val="18"/>
                <w:szCs w:val="18"/>
              </w:rPr>
              <w:t>隐患类别</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18"/>
                <w:szCs w:val="18"/>
              </w:rPr>
            </w:pPr>
            <w:r>
              <w:rPr>
                <w:rFonts w:hint="eastAsia" w:eastAsia="黑体"/>
                <w:sz w:val="18"/>
                <w:szCs w:val="18"/>
              </w:rPr>
              <w:t>检查内容</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18"/>
                <w:szCs w:val="18"/>
              </w:rPr>
            </w:pPr>
            <w:r>
              <w:rPr>
                <w:rFonts w:hint="eastAsia" w:eastAsia="黑体"/>
                <w:sz w:val="18"/>
                <w:szCs w:val="18"/>
              </w:rPr>
              <w:t>是否存在问题</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方正仿宋_GBK"/>
                <w:sz w:val="21"/>
                <w:szCs w:val="21"/>
              </w:rPr>
            </w:pPr>
            <w:r>
              <w:rPr>
                <w:rFonts w:hint="eastAsia" w:eastAsia="黑体"/>
                <w:sz w:val="18"/>
                <w:szCs w:val="18"/>
              </w:rPr>
              <w:t>整改责任、措施、资金、时限、预案落实情况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190" w:type="dxa"/>
            <w:vMerge w:val="restart"/>
            <w:tcBorders>
              <w:top w:val="single" w:color="000000"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hint="eastAsia" w:eastAsia="方正仿宋_GBK"/>
                <w:sz w:val="18"/>
                <w:szCs w:val="18"/>
              </w:rPr>
              <w:t>（一）违法违规施工作业和生产经营。</w:t>
            </w:r>
          </w:p>
        </w:tc>
        <w:tc>
          <w:tcPr>
            <w:tcW w:w="5142" w:type="dxa"/>
            <w:tcBorders>
              <w:top w:val="single" w:color="000000"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1.</w:t>
            </w:r>
            <w:r>
              <w:rPr>
                <w:rFonts w:hint="eastAsia" w:eastAsia="方正仿宋_GBK"/>
                <w:sz w:val="18"/>
                <w:szCs w:val="18"/>
              </w:rPr>
              <w:t>是否存在未经审批施工作业、无证施工作业、违规拆除作业、违规层层转包施工作业、未落实作业安全措施冒险作业。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___WRD_EMBED_SUB_44"/>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190"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p>
        </w:tc>
        <w:tc>
          <w:tcPr>
            <w:tcW w:w="5142" w:type="dxa"/>
            <w:tcBorders>
              <w:top w:val="single" w:color="000000"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2.</w:t>
            </w:r>
            <w:r>
              <w:rPr>
                <w:rFonts w:hint="eastAsia" w:eastAsia="方正仿宋_GBK"/>
                <w:sz w:val="18"/>
                <w:szCs w:val="18"/>
              </w:rPr>
              <w:t>是否存在违规使用明火或者电焊、气焊作业，动火、电焊、气焊作业人员未持证上岗，电焊、气焊作业未办理动火审批手续，作业现场未采取相应的消防安全措施。</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方正仿宋_GBK"/>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90"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p>
        </w:tc>
        <w:tc>
          <w:tcPr>
            <w:tcW w:w="514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3.</w:t>
            </w:r>
            <w:r>
              <w:rPr>
                <w:rFonts w:hint="eastAsia" w:eastAsia="方正仿宋_GBK"/>
                <w:sz w:val="18"/>
                <w:szCs w:val="18"/>
              </w:rPr>
              <w:t>是否存在动火作业未安排专门人员进行现场安全管理。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___WRD_EMBED_SUB_44"/>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90"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p>
        </w:tc>
        <w:tc>
          <w:tcPr>
            <w:tcW w:w="514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4.</w:t>
            </w:r>
            <w:r>
              <w:rPr>
                <w:rFonts w:hint="eastAsia" w:eastAsia="方正仿宋_GBK"/>
                <w:sz w:val="18"/>
                <w:szCs w:val="18"/>
              </w:rPr>
              <w:t>是否存在施工现场动火动焊作业、带火花作业与具有火灾、爆炸风险作业交叉进行。</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___WRD_EMBED_SUB_44"/>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90"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p>
        </w:tc>
        <w:tc>
          <w:tcPr>
            <w:tcW w:w="514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5.</w:t>
            </w:r>
            <w:r>
              <w:rPr>
                <w:rFonts w:hint="eastAsia" w:eastAsia="方正仿宋_GBK"/>
                <w:sz w:val="18"/>
                <w:szCs w:val="18"/>
              </w:rPr>
              <w:t>是否存在设置在人员密集场所、地下建筑的冷库违规采用易燃可燃保温材料，防火分隔不到位，冷库建设、改造、拆除施工期间未严密落实火灾防范措施。</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___WRD_EMBED_SUB_44"/>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190"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hint="eastAsia" w:eastAsia="方正仿宋_GBK"/>
                <w:sz w:val="18"/>
                <w:szCs w:val="18"/>
              </w:rPr>
              <w:t>（二）安全疏散条件不足。</w:t>
            </w:r>
          </w:p>
        </w:tc>
        <w:tc>
          <w:tcPr>
            <w:tcW w:w="514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1.</w:t>
            </w:r>
            <w:r>
              <w:rPr>
                <w:rFonts w:hint="eastAsia" w:eastAsia="方正仿宋_GBK"/>
                <w:sz w:val="18"/>
                <w:szCs w:val="18"/>
              </w:rPr>
              <w:t>是否存在占用、堵塞、封闭疏散通道、安全出口和消防车通道。</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___WRD_EMBED_SUB_44"/>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9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p>
        </w:tc>
        <w:tc>
          <w:tcPr>
            <w:tcW w:w="514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2.</w:t>
            </w:r>
            <w:r>
              <w:rPr>
                <w:rFonts w:hint="eastAsia" w:eastAsia="方正仿宋_GBK"/>
                <w:sz w:val="18"/>
                <w:szCs w:val="18"/>
              </w:rPr>
              <w:t>是否存在安全出口和疏散楼梯数量不足、宽度不够。</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___WRD_EMBED_SUB_44"/>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9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p>
        </w:tc>
        <w:tc>
          <w:tcPr>
            <w:tcW w:w="514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3.</w:t>
            </w:r>
            <w:r>
              <w:rPr>
                <w:rFonts w:hint="eastAsia" w:eastAsia="方正仿宋_GBK"/>
                <w:sz w:val="18"/>
                <w:szCs w:val="18"/>
              </w:rPr>
              <w:t>是否存在应急广播、应急照明、疏散指示标志缺失、损坏。</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方正仿宋_GBK"/>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9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p>
        </w:tc>
        <w:tc>
          <w:tcPr>
            <w:tcW w:w="514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4.</w:t>
            </w:r>
            <w:r>
              <w:rPr>
                <w:rFonts w:hint="eastAsia" w:eastAsia="方正仿宋_GBK"/>
                <w:sz w:val="18"/>
                <w:szCs w:val="18"/>
              </w:rPr>
              <w:t>是否存在未结合实际制定灭火和应急疏散预案，员工、宿管员不掌握初起火灾扑救和组织疏散逃生技能。</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方正仿宋_GBK"/>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9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p>
        </w:tc>
        <w:tc>
          <w:tcPr>
            <w:tcW w:w="514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5.</w:t>
            </w:r>
            <w:r>
              <w:rPr>
                <w:rFonts w:hint="eastAsia" w:eastAsia="方正仿宋_GBK"/>
                <w:sz w:val="18"/>
                <w:szCs w:val="18"/>
              </w:rPr>
              <w:t>是否存在多业态混合生产经营场所未确定责任人对共用的疏散通道、安全出口进行统一管理，是否存在未安装一键警报广播装置。</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方正仿宋_GBK"/>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190"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rPr>
                <w:rFonts w:eastAsia="方正仿宋_GBK"/>
                <w:sz w:val="18"/>
                <w:szCs w:val="18"/>
              </w:rPr>
            </w:pPr>
            <w:r>
              <w:rPr>
                <w:rFonts w:hint="eastAsia" w:eastAsia="方正仿宋_GBK"/>
                <w:sz w:val="18"/>
                <w:szCs w:val="18"/>
              </w:rPr>
              <w:t>（三）违规设置防盗网和广告牌。</w:t>
            </w:r>
          </w:p>
        </w:tc>
        <w:tc>
          <w:tcPr>
            <w:tcW w:w="5142"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rPr>
                <w:rFonts w:eastAsia="方正仿宋_GBK"/>
                <w:sz w:val="18"/>
                <w:szCs w:val="18"/>
              </w:rPr>
            </w:pPr>
            <w:r>
              <w:rPr>
                <w:rFonts w:eastAsia="方正仿宋_GBK"/>
                <w:sz w:val="18"/>
                <w:szCs w:val="18"/>
              </w:rPr>
              <w:t>1.</w:t>
            </w:r>
            <w:r>
              <w:rPr>
                <w:rFonts w:hint="eastAsia" w:eastAsia="方正仿宋_GBK"/>
                <w:sz w:val="18"/>
                <w:szCs w:val="18"/>
              </w:rPr>
              <w:t>人员密集场所在门窗上设置影响逃生和灭火救援的防盗网、铁栅栏、广告牌等障碍物。</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___WRD_EMBED_SUB_44"/>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190"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rPr>
                <w:rFonts w:eastAsia="方正仿宋_GBK"/>
                <w:sz w:val="18"/>
                <w:szCs w:val="18"/>
              </w:rPr>
            </w:pPr>
            <w:r>
              <w:rPr>
                <w:rFonts w:hint="eastAsia" w:eastAsia="方正仿宋_GBK"/>
                <w:sz w:val="18"/>
                <w:szCs w:val="18"/>
              </w:rPr>
              <w:t>（四）其他</w:t>
            </w:r>
          </w:p>
        </w:tc>
        <w:tc>
          <w:tcPr>
            <w:tcW w:w="5142" w:type="dxa"/>
            <w:tcBorders>
              <w:top w:val="single" w:color="auto" w:sz="4" w:space="0"/>
              <w:left w:val="single" w:color="000000" w:sz="4" w:space="0"/>
              <w:bottom w:val="single" w:color="000000" w:sz="4" w:space="0"/>
              <w:right w:val="single" w:color="000000" w:sz="4" w:space="0"/>
            </w:tcBorders>
            <w:noWrap w:val="0"/>
            <w:vAlign w:val="top"/>
          </w:tcPr>
          <w:p>
            <w:pPr>
              <w:spacing w:line="280" w:lineRule="exact"/>
              <w:rPr>
                <w:rFonts w:eastAsia="方正仿宋_GBK"/>
                <w:sz w:val="18"/>
                <w:szCs w:val="18"/>
              </w:rPr>
            </w:pPr>
            <w:r>
              <w:rPr>
                <w:rFonts w:hint="eastAsia" w:eastAsia="方正仿宋_GBK"/>
                <w:sz w:val="18"/>
                <w:szCs w:val="18"/>
              </w:rPr>
              <w:t>其他问题：</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___WRD_EMBED_SUB_44"/>
                <w:sz w:val="18"/>
                <w:szCs w:val="18"/>
              </w:rPr>
            </w:pPr>
            <w:r>
              <w:rPr>
                <w:rFonts w:hint="eastAsia" w:eastAsia="方正仿宋_GBK"/>
                <w:sz w:val="18"/>
                <w:szCs w:val="18"/>
              </w:rPr>
              <w:t>是</w:t>
            </w:r>
            <w:r>
              <w:rPr>
                <w:sz w:val="18"/>
                <w:szCs w:val="18"/>
              </w:rPr>
              <w:t xml:space="preserve">□     </w:t>
            </w:r>
            <w:r>
              <w:rPr>
                <w:rFonts w:hint="eastAsia" w:eastAsia="方正仿宋_GBK"/>
                <w:sz w:val="18"/>
                <w:szCs w:val="18"/>
              </w:rPr>
              <w:t>否</w:t>
            </w:r>
            <w:r>
              <w:rPr>
                <w:sz w:val="18"/>
                <w:szCs w:val="18"/>
              </w:rPr>
              <w:t>□</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280" w:lineRule="exact"/>
              <w:jc w:val="center"/>
              <w:rPr>
                <w:rFonts w:eastAsia="方正仿宋_GBK"/>
                <w:sz w:val="18"/>
                <w:szCs w:val="18"/>
              </w:rPr>
            </w:pPr>
          </w:p>
        </w:tc>
      </w:tr>
    </w:tbl>
    <w:p>
      <w:pPr>
        <w:adjustRightInd w:val="0"/>
        <w:snapToGrid w:val="0"/>
        <w:spacing w:line="360" w:lineRule="exact"/>
        <w:ind w:firstLine="422"/>
        <w:rPr>
          <w:rFonts w:eastAsia="方正仿宋_GBK"/>
          <w:sz w:val="24"/>
          <w:szCs w:val="24"/>
        </w:rPr>
      </w:pPr>
      <w:r>
        <w:rPr>
          <w:rFonts w:hint="eastAsia" w:eastAsia="方正仿宋_GBK"/>
          <w:b/>
          <w:sz w:val="24"/>
          <w:szCs w:val="24"/>
        </w:rPr>
        <w:t>单位自查人员（签字）：</w:t>
      </w:r>
      <w:r>
        <w:rPr>
          <w:rFonts w:eastAsia="方正仿宋_GBK"/>
          <w:sz w:val="24"/>
          <w:szCs w:val="24"/>
        </w:rPr>
        <w:t xml:space="preserve">                                 </w:t>
      </w:r>
      <w:r>
        <w:rPr>
          <w:rFonts w:hint="eastAsia" w:eastAsia="方正仿宋_GBK"/>
          <w:b/>
          <w:sz w:val="24"/>
          <w:szCs w:val="24"/>
        </w:rPr>
        <w:t>自查时间：</w:t>
      </w:r>
    </w:p>
    <w:p>
      <w:pPr>
        <w:pStyle w:val="13"/>
        <w:spacing w:line="240" w:lineRule="exact"/>
        <w:ind w:firstLine="292" w:firstLineChars="200"/>
        <w:rPr>
          <w:rFonts w:hint="eastAsia" w:eastAsia="方正仿宋_GBK"/>
          <w:b/>
          <w:color w:val="auto"/>
          <w:sz w:val="15"/>
          <w:szCs w:val="15"/>
        </w:rPr>
      </w:pPr>
    </w:p>
    <w:p>
      <w:pPr>
        <w:pStyle w:val="13"/>
        <w:spacing w:line="240" w:lineRule="exact"/>
        <w:rPr>
          <w:rFonts w:hint="eastAsia" w:ascii="方正仿宋_GBK" w:hAnsi="方正仿宋_GBK" w:eastAsia="方正仿宋_GBK" w:cs="方正仿宋_GBK"/>
          <w:color w:val="auto"/>
          <w:sz w:val="21"/>
          <w:szCs w:val="21"/>
        </w:rPr>
      </w:pPr>
      <w:r>
        <w:rPr>
          <w:rFonts w:hint="eastAsia" w:eastAsia="方正仿宋_GBK"/>
          <w:b/>
          <w:color w:val="auto"/>
          <w:sz w:val="21"/>
          <w:szCs w:val="21"/>
        </w:rPr>
        <w:t>注</w:t>
      </w:r>
      <w:r>
        <w:rPr>
          <w:rFonts w:hint="eastAsia" w:eastAsia="方正仿宋_GBK"/>
          <w:color w:val="auto"/>
          <w:sz w:val="21"/>
          <w:szCs w:val="21"/>
        </w:rPr>
        <w:t>：</w:t>
      </w:r>
      <w:r>
        <w:rPr>
          <w:rFonts w:eastAsia="方正仿宋_GBK"/>
          <w:color w:val="auto"/>
          <w:sz w:val="21"/>
          <w:szCs w:val="21"/>
        </w:rPr>
        <w:t>1.</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九小场所</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包括小商店、小市场、小餐饮、非寄宿制的学校（托儿所、幼儿园）、小生产加工企业、小易燃易爆单位、小汽车库停车场、小仓储场所、快递场所等场所；多业态混合生产经营场所包括集餐饮、住宿、娱乐、商业、仓储、文化、体育、培训等多业态多功能于一体的经营场所，分租、转租形成生产储存多种功能的劳动密集型企业等场所；人员密集场所包括老旧市场、宾馆饭店、公共娱乐场所、大型商业综合体、医院、寄宿制中小学、养老院、旅游场所、儿童福利院等场所。</w:t>
      </w:r>
    </w:p>
    <w:p>
      <w:pPr>
        <w:pStyle w:val="13"/>
        <w:spacing w:line="240" w:lineRule="exact"/>
        <w:ind w:firstLine="412" w:firstLineChars="200"/>
        <w:rPr>
          <w:rFonts w:hint="eastAsia" w:eastAsia="方正仿宋_GBK"/>
          <w:color w:val="auto"/>
          <w:sz w:val="32"/>
          <w:szCs w:val="32"/>
        </w:rPr>
      </w:pPr>
      <w:r>
        <w:rPr>
          <w:rFonts w:hint="eastAsia" w:eastAsia="方正仿宋_GBK"/>
          <w:color w:val="auto"/>
          <w:sz w:val="21"/>
          <w:szCs w:val="21"/>
        </w:rPr>
        <w:t>2.此</w:t>
      </w:r>
      <w:r>
        <w:rPr>
          <w:rFonts w:hint="eastAsia" w:ascii="方正仿宋_GBK" w:hAnsi="方正仿宋_GBK" w:eastAsia="方正仿宋_GBK" w:cs="方正仿宋_GBK"/>
          <w:color w:val="auto"/>
          <w:sz w:val="21"/>
          <w:szCs w:val="21"/>
        </w:rPr>
        <w:t>承诺书采用</w:t>
      </w:r>
      <w:r>
        <w:rPr>
          <w:rFonts w:hint="eastAsia" w:eastAsia="方正仿宋_GBK"/>
          <w:color w:val="auto"/>
          <w:sz w:val="21"/>
          <w:szCs w:val="21"/>
        </w:rPr>
        <w:t>A4纸</w:t>
      </w:r>
      <w:r>
        <w:rPr>
          <w:rFonts w:hint="eastAsia" w:ascii="方正仿宋_GBK" w:hAnsi="方正仿宋_GBK" w:eastAsia="方正仿宋_GBK" w:cs="方正仿宋_GBK"/>
          <w:color w:val="auto"/>
          <w:sz w:val="21"/>
          <w:szCs w:val="21"/>
        </w:rPr>
        <w:t>打印，一式</w:t>
      </w:r>
      <w:r>
        <w:rPr>
          <w:rFonts w:hint="eastAsia" w:eastAsia="方正仿宋_GBK"/>
          <w:color w:val="auto"/>
          <w:sz w:val="21"/>
          <w:szCs w:val="21"/>
        </w:rPr>
        <w:t>2</w:t>
      </w:r>
      <w:r>
        <w:rPr>
          <w:rFonts w:hint="eastAsia" w:ascii="方正仿宋_GBK" w:hAnsi="方正仿宋_GBK" w:eastAsia="方正仿宋_GBK" w:cs="方正仿宋_GBK"/>
          <w:color w:val="auto"/>
          <w:sz w:val="21"/>
          <w:szCs w:val="21"/>
        </w:rPr>
        <w:t>份，由单位负责人填写并加盖公章，</w:t>
      </w:r>
      <w:r>
        <w:rPr>
          <w:rFonts w:hint="eastAsia" w:eastAsia="方正仿宋_GBK"/>
          <w:color w:val="auto"/>
          <w:sz w:val="21"/>
          <w:szCs w:val="21"/>
        </w:rPr>
        <w:t>1份</w:t>
      </w:r>
      <w:r>
        <w:rPr>
          <w:rFonts w:hint="eastAsia" w:ascii="方正仿宋_GBK" w:hAnsi="方正仿宋_GBK" w:eastAsia="方正仿宋_GBK" w:cs="方正仿宋_GBK"/>
          <w:color w:val="auto"/>
          <w:sz w:val="21"/>
          <w:szCs w:val="21"/>
        </w:rPr>
        <w:t>张贴于该单位醒目位置，</w:t>
      </w:r>
      <w:r>
        <w:rPr>
          <w:rFonts w:hint="eastAsia" w:eastAsia="方正仿宋_GBK"/>
          <w:color w:val="auto"/>
          <w:sz w:val="21"/>
          <w:szCs w:val="21"/>
        </w:rPr>
        <w:t>1</w:t>
      </w:r>
      <w:r>
        <w:rPr>
          <w:rFonts w:hint="eastAsia" w:ascii="方正仿宋_GBK" w:hAnsi="方正仿宋_GBK" w:eastAsia="方正仿宋_GBK" w:cs="方正仿宋_GBK"/>
          <w:color w:val="auto"/>
          <w:sz w:val="21"/>
          <w:szCs w:val="21"/>
        </w:rPr>
        <w:t>份单位存档留存。</w:t>
      </w:r>
    </w:p>
    <w:p>
      <w:pPr>
        <w:adjustRightInd w:val="0"/>
        <w:snapToGrid w:val="0"/>
        <w:spacing w:line="590" w:lineRule="exact"/>
        <w:ind w:firstLine="632" w:firstLineChars="200"/>
        <w:rPr>
          <w:rFonts w:eastAsia="方正仿宋_GBK"/>
        </w:rPr>
        <w:sectPr>
          <w:pgSz w:w="11906" w:h="16838"/>
          <w:pgMar w:top="1559" w:right="1588" w:bottom="2098" w:left="1474" w:header="851" w:footer="992" w:gutter="0"/>
          <w:cols w:space="720" w:num="1"/>
          <w:docGrid w:type="linesAndChars" w:linePitch="579" w:charSpace="-849"/>
        </w:sectPr>
      </w:pPr>
    </w:p>
    <w:p>
      <w:pPr>
        <w:pStyle w:val="13"/>
        <w:spacing w:line="600" w:lineRule="exact"/>
        <w:rPr>
          <w:rFonts w:hint="eastAsia" w:ascii="黑体" w:hAnsi="黑体" w:eastAsia="黑体" w:cs="黑体"/>
          <w:color w:val="auto"/>
          <w:sz w:val="32"/>
        </w:rPr>
      </w:pPr>
      <w:r>
        <w:rPr>
          <w:rFonts w:hint="eastAsia" w:ascii="黑体" w:hAnsi="黑体" w:eastAsia="黑体" w:cs="黑体"/>
          <w:color w:val="auto"/>
          <w:sz w:val="32"/>
        </w:rPr>
        <w:t>附件3</w:t>
      </w:r>
    </w:p>
    <w:p>
      <w:pPr>
        <w:spacing w:line="590" w:lineRule="exact"/>
        <w:jc w:val="center"/>
        <w:rPr>
          <w:rFonts w:hint="eastAsia" w:eastAsia="黑体"/>
          <w:kern w:val="32"/>
          <w:sz w:val="44"/>
          <w:szCs w:val="44"/>
        </w:rPr>
      </w:pPr>
      <w:r>
        <w:rPr>
          <w:rFonts w:hint="eastAsia" w:eastAsia="方正小标宋_GBK"/>
          <w:sz w:val="44"/>
          <w:szCs w:val="44"/>
        </w:rPr>
        <w:t>三类重点场所消防安全整治指南</w:t>
      </w:r>
    </w:p>
    <w:p>
      <w:pPr>
        <w:pStyle w:val="2"/>
        <w:spacing w:before="0" w:line="590" w:lineRule="exact"/>
        <w:ind w:firstLine="552" w:firstLineChars="200"/>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Cs/>
          <w:kern w:val="0"/>
        </w:rPr>
      </w:pPr>
      <w:r>
        <w:rPr>
          <w:rFonts w:hint="eastAsia" w:ascii="仿宋_GB2312" w:hAnsi="仿宋_GB2312" w:eastAsia="仿宋_GB2312" w:cs="仿宋_GB2312"/>
          <w:bCs/>
          <w:kern w:val="0"/>
        </w:rPr>
        <w:t>为指导各地做好</w:t>
      </w:r>
      <w:r>
        <w:rPr>
          <w:rFonts w:hint="eastAsia" w:ascii="仿宋_GB2312" w:hAnsi="仿宋_GB2312" w:eastAsia="仿宋_GB2312" w:cs="仿宋_GB2312"/>
          <w:bCs/>
          <w:kern w:val="0"/>
          <w:lang w:eastAsia="zh-CN"/>
        </w:rPr>
        <w:t>“</w:t>
      </w:r>
      <w:r>
        <w:rPr>
          <w:rFonts w:hint="eastAsia" w:ascii="仿宋_GB2312" w:hAnsi="仿宋_GB2312" w:eastAsia="仿宋_GB2312" w:cs="仿宋_GB2312"/>
          <w:bCs/>
          <w:kern w:val="0"/>
        </w:rPr>
        <w:t>九小场所</w:t>
      </w:r>
      <w:r>
        <w:rPr>
          <w:rFonts w:hint="eastAsia" w:ascii="仿宋_GB2312" w:hAnsi="仿宋_GB2312" w:eastAsia="仿宋_GB2312" w:cs="仿宋_GB2312"/>
          <w:bCs/>
          <w:kern w:val="0"/>
          <w:lang w:eastAsia="zh-CN"/>
        </w:rPr>
        <w:t>”</w:t>
      </w:r>
      <w:r>
        <w:rPr>
          <w:rFonts w:hint="eastAsia" w:ascii="仿宋_GB2312" w:hAnsi="仿宋_GB2312" w:eastAsia="仿宋_GB2312" w:cs="仿宋_GB2312"/>
          <w:bCs/>
          <w:kern w:val="0"/>
        </w:rPr>
        <w:t>、多业态混合生产经营场所、人员密集场所的消防安全整治工作，制定以下指南：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kern w:val="0"/>
        </w:rPr>
      </w:pPr>
      <w:r>
        <w:rPr>
          <w:rFonts w:hint="eastAsia" w:ascii="黑体" w:hAnsi="黑体" w:eastAsia="黑体" w:cs="黑体"/>
          <w:kern w:val="0"/>
        </w:rPr>
        <w:t>一、消防安全基本要求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Cs/>
          <w:kern w:val="0"/>
        </w:rPr>
      </w:pPr>
      <w:r>
        <w:rPr>
          <w:rFonts w:hint="eastAsia" w:ascii="楷体" w:hAnsi="楷体" w:eastAsia="楷体" w:cs="楷体"/>
          <w:bCs/>
          <w:kern w:val="0"/>
        </w:rPr>
        <w:t>（一）消防安全责任制落实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应当明确消防安全责任。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应当履行消防安全职责。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2小时进行一次防火巡查。防火巡查、检查时，应填写巡查、检查记录，巡查和检查人员及其主管人员应在记录上签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应当组织教育培训演练。应当组织开展多种形式经常性消防宣传教育。应对新入职人员开展岗前消防安全培训。托儿所、幼儿园、寄宿制学校、校外培训机构应当对学生和儿童进行消防安全常识教育。人员密集场所应至少每半年开展一次全员消防安全培训。各类场所应当至少每年组织一次有针对性的消防演练，宾馆、商场、集贸市场、公共娱乐场所应至少每半年组织一次消防演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应当开展消防宣传提示。人员密集场所应当在醒目位置设置视频、警示牌或者采用广播等形式对公众提示下列消防安全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eastAsia" w:ascii="楷体" w:hAnsi="楷体" w:eastAsia="楷体" w:cs="楷体"/>
          <w:bCs/>
          <w:kern w:val="0"/>
        </w:rPr>
        <w:t>（二）消防安全基本条件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5.应当符合耐火等级。易燃易爆危险品销售场所建筑物耐火等级不应低于二级，其他场所建筑物的耐火等级不宜低于二级，确有困难时，可采用三、四级耐火等级的建筑，但应符合国家消防技术标准相关规定。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6.应当严格场所设置。设置在地下的公共娱乐场所不应设在地下二层及二层以下，当布置在地下一层时，地下一层地面与室外出入口地坪的高差不应大于10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7.应当实施防火分隔。附设在非住宅民用建筑内的医院，养老院，托儿所、幼儿园、寄宿制学校、校外培训机构当中的儿童活动场所，应采用耐火极限不低于2小时的防火隔墙和1小时楼板与其他场所隔开，墙上必须设置的门窗应采用乙级防火门窗。经营性场所与住宅位于同一建筑时，应采用耐火极限不低于2小时且无门窗洞口的不燃烧体墙和耐火极限不低于1.5小时的楼板与居住部分完全分隔，且不应与居住部分共用安全出口和疏散楼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8.应当设置消防设施。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1000平方米的餐饮场所烹饪操作间的排油烟罩及烹饪部位应设置自动灭火装置，并应在燃气或燃油管道上设置与自动灭火装置联动的自动切断装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Cs/>
          <w:kern w:val="0"/>
        </w:rPr>
      </w:pPr>
      <w:r>
        <w:rPr>
          <w:rFonts w:hint="eastAsia" w:ascii="楷体" w:hAnsi="楷体" w:eastAsia="楷体" w:cs="楷体"/>
          <w:bCs/>
          <w:kern w:val="0"/>
        </w:rPr>
        <w:t>（三）用火用电安全管理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9.应当规范明火使用。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10.应当加强用电管理。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Cs/>
          <w:kern w:val="0"/>
        </w:rPr>
      </w:pPr>
      <w:r>
        <w:rPr>
          <w:rFonts w:hint="eastAsia" w:ascii="楷体" w:hAnsi="楷体" w:eastAsia="楷体" w:cs="楷体"/>
          <w:bCs/>
          <w:kern w:val="0"/>
        </w:rPr>
        <w:t>（四）易燃易爆可燃物安全管理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11.应当控制装修材料。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人员密集场所采用的内保温材料燃烧性能应为A级；人员密集场所所在建筑的外墙外保温材料燃烧性能应为A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12.应当规范燃料使用。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Cs/>
          <w:kern w:val="0"/>
        </w:rPr>
      </w:pPr>
      <w:r>
        <w:rPr>
          <w:rFonts w:hint="eastAsia" w:ascii="楷体" w:hAnsi="楷体" w:eastAsia="楷体" w:cs="楷体"/>
          <w:bCs/>
          <w:kern w:val="0"/>
        </w:rPr>
        <w:t>（五）安全疏散设施管理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13.应当规范设置疏散设施。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r>
        <w:rPr>
          <w:rFonts w:hint="default" w:ascii="Times New Roman" w:hAnsi="Times New Roman" w:eastAsia="仿宋_GB2312" w:cs="Times New Roman"/>
          <w:kern w:val="0"/>
        </w:rPr>
        <w:t>多业态混合生产经营场所应当设置一键警报广播装置。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14.应当确保出口通道畅通。应保持疏散通道、安全出口畅通，</w:t>
      </w:r>
      <w:r>
        <w:rPr>
          <w:rFonts w:hint="default" w:ascii="Times New Roman" w:hAnsi="Times New Roman" w:eastAsia="仿宋_GB2312" w:cs="Times New Roman"/>
          <w:bCs/>
          <w:color w:val="000000"/>
          <w:kern w:val="0"/>
        </w:rPr>
        <w:t>严禁占用、堵塞、封闭疏散通道、安全出口。设置门禁系统的场所，应保证火灾时不需要使用钥匙等任何工具即能从内部易于打开，并应在显著位置设置提示标识。</w:t>
      </w:r>
      <w:r>
        <w:rPr>
          <w:rFonts w:hint="default" w:ascii="Times New Roman" w:hAnsi="Times New Roman" w:eastAsia="仿宋_GB2312" w:cs="Times New Roman"/>
          <w:bCs/>
          <w:kern w:val="0"/>
        </w:rPr>
        <w:t>禁止在安全出口、疏散通道上安装固定栅栏等影响疏散的障碍物，禁止在公共区域的外窗上安装金属护栏或防盗网、广告牌等影响疏散、灭火救援的障碍物。人员密集场所使用、营业期间不应锁闭安全出口的门。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w w:val="99"/>
          <w:kern w:val="0"/>
        </w:rPr>
      </w:pPr>
      <w:r>
        <w:rPr>
          <w:rFonts w:hint="default" w:ascii="Times New Roman" w:hAnsi="Times New Roman" w:eastAsia="仿宋_GB2312" w:cs="Times New Roman"/>
          <w:bCs/>
          <w:w w:val="99"/>
          <w:kern w:val="0"/>
        </w:rPr>
        <w:t>15.应当加强疏散提示引导。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r>
        <w:rPr>
          <w:rFonts w:hint="default" w:ascii="Times New Roman" w:hAnsi="Times New Roman" w:eastAsia="仿宋_GB2312" w:cs="Times New Roman"/>
          <w:w w:val="99"/>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rPr>
      </w:pPr>
      <w:r>
        <w:rPr>
          <w:rFonts w:hint="eastAsia" w:ascii="黑体" w:hAnsi="黑体" w:eastAsia="黑体" w:cs="黑体"/>
          <w:kern w:val="0"/>
        </w:rPr>
        <w:t>二、消防安全检查要求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Cs/>
          <w:kern w:val="0"/>
        </w:rPr>
      </w:pPr>
      <w:r>
        <w:rPr>
          <w:rFonts w:hint="eastAsia" w:ascii="楷体" w:hAnsi="楷体" w:eastAsia="楷体" w:cs="楷体"/>
          <w:bCs/>
          <w:kern w:val="0"/>
        </w:rPr>
        <w:t>（一）消防安全责任制落实情况检查要求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宾馆、商场、公共娱乐场所在营业时间是否至少每2小时巡查一次，营业结束后是否检查并消除遗留火种；医院、养老院及寄宿制的学校、托儿所和幼儿园是否每日组织夜间防火巡查，是否少于2次，每月是否开展一次防火检查。</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4.场所是否每年至少开展一次消防安全培训，开展消防安全</w:t>
      </w:r>
      <w:r>
        <w:rPr>
          <w:rFonts w:hint="default" w:ascii="Times New Roman" w:hAnsi="Times New Roman" w:eastAsia="仿宋_GB2312" w:cs="Times New Roman"/>
          <w:bCs/>
          <w:kern w:val="0"/>
          <w:lang w:eastAsia="zh-CN"/>
        </w:rPr>
        <w:t>“</w:t>
      </w:r>
      <w:r>
        <w:rPr>
          <w:rFonts w:hint="default" w:ascii="Times New Roman" w:hAnsi="Times New Roman" w:eastAsia="仿宋_GB2312" w:cs="Times New Roman"/>
          <w:bCs/>
          <w:kern w:val="0"/>
        </w:rPr>
        <w:t>三提示</w:t>
      </w:r>
      <w:r>
        <w:rPr>
          <w:rFonts w:hint="default" w:ascii="Times New Roman" w:hAnsi="Times New Roman" w:eastAsia="仿宋_GB2312" w:cs="Times New Roman"/>
          <w:bCs/>
          <w:kern w:val="0"/>
          <w:lang w:eastAsia="zh-CN"/>
        </w:rPr>
        <w:t>”</w:t>
      </w:r>
      <w:r>
        <w:rPr>
          <w:rFonts w:hint="default" w:ascii="Times New Roman" w:hAnsi="Times New Roman" w:eastAsia="仿宋_GB2312" w:cs="Times New Roman"/>
          <w:bCs/>
          <w:kern w:val="0"/>
        </w:rPr>
        <w:t>。从业人员是否掌握本场所火灾风险和消防安全常识，熟练掌握消防设施操作使用方法，知晓</w:t>
      </w:r>
      <w:r>
        <w:rPr>
          <w:rFonts w:hint="default" w:ascii="Times New Roman" w:hAnsi="Times New Roman" w:eastAsia="仿宋_GB2312" w:cs="Times New Roman"/>
          <w:bCs/>
          <w:kern w:val="0"/>
          <w:lang w:eastAsia="zh-CN"/>
        </w:rPr>
        <w:t>“</w:t>
      </w:r>
      <w:r>
        <w:rPr>
          <w:rFonts w:hint="default" w:ascii="Times New Roman" w:hAnsi="Times New Roman" w:eastAsia="仿宋_GB2312" w:cs="Times New Roman"/>
          <w:bCs/>
          <w:kern w:val="0"/>
        </w:rPr>
        <w:t>119</w:t>
      </w:r>
      <w:r>
        <w:rPr>
          <w:rFonts w:hint="default" w:ascii="Times New Roman" w:hAnsi="Times New Roman" w:eastAsia="仿宋_GB2312" w:cs="Times New Roman"/>
          <w:bCs/>
          <w:kern w:val="0"/>
          <w:lang w:eastAsia="zh-CN"/>
        </w:rPr>
        <w:t>”</w:t>
      </w:r>
      <w:r>
        <w:rPr>
          <w:rFonts w:hint="default" w:ascii="Times New Roman" w:hAnsi="Times New Roman" w:eastAsia="仿宋_GB2312" w:cs="Times New Roman"/>
          <w:bCs/>
          <w:kern w:val="0"/>
        </w:rPr>
        <w:t>火警报警方法，具备扑救初期火灾的能力和组织人员应急疏散逃生的能力。</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5.场所是否制定灭火和应急疏散预案，是否按要求组织开展全员灭火和应急疏散演练。所在建筑消防控制室和微型消防站是否建立应急联动机制。场所设置在大型商业综合体或者与其他场所在一栋建筑合并设置时，是否建立火灾联动响应处置机制，开展联合消防演练。</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6.场所营业期间，是否违规进行电焊、气焊、切割等动火施工作业。非营业期间动火施工作业是否经动火审批，是否落实现场安全监护措施。</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bCs/>
          <w:kern w:val="0"/>
        </w:rPr>
        <w:t>7.电动自行车及其蓄电池是否违规在场所内、公共门厅、楼梯间、走道、安全出口停放、充电。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Cs/>
          <w:kern w:val="0"/>
        </w:rPr>
      </w:pPr>
      <w:r>
        <w:rPr>
          <w:rFonts w:hint="eastAsia" w:ascii="楷体" w:hAnsi="楷体" w:eastAsia="楷体" w:cs="楷体"/>
          <w:bCs/>
          <w:kern w:val="0"/>
        </w:rPr>
        <w:t>（二）消防安全基本条件检查要求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8.消防车道是否划线管理，其净宽度和净空高度是否小于4米。消防车道与厂房（仓库）、民用建筑之间是否设置妨碍消防车作业的障碍物。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9.</w:t>
      </w:r>
      <w:r>
        <w:rPr>
          <w:rFonts w:hint="default" w:ascii="Times New Roman" w:hAnsi="Times New Roman" w:eastAsia="仿宋_GB2312" w:cs="Times New Roman"/>
          <w:bCs/>
          <w:kern w:val="32"/>
        </w:rPr>
        <w:t>公共建筑的安全出口数量是否符合要求</w:t>
      </w:r>
      <w:r>
        <w:rPr>
          <w:rFonts w:hint="default" w:ascii="Times New Roman" w:hAnsi="Times New Roman" w:eastAsia="仿宋_GB2312" w:cs="Times New Roman"/>
          <w:bCs/>
          <w:kern w:val="0"/>
        </w:rPr>
        <w:t>其相邻2个安全出口最近边缘之间的水平距离是否小于5米。安全出口处是否设置门槛、屏风等影响疏散的障碍物，疏散门是否向疏散方向开启，是否违规采用卷帘门、转门、吊门、侧拉门。</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10.人员密集场所的疏散通道的净宽、其他场所的疏散通道净宽是否符合消防技术标准要求。场所是否设置满足照度要求的消防应急照明灯和灯光疏散指示标志。</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11.场所是否按照国家标准、行业标准设置消防设施、器材，场所消防设施的设置是否与其所在建筑的设置标准匹配，是否保持完好有效。设有消防设施的场所是否每年对建筑消防设施至少进行一次全面检测。</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13.场所室内装修材料是否符合国家标准《建筑内部装修设计防火规范》(GB50222)的有关规定，是否违规采用易燃可燃装修材料。人员密集场所及所在建筑采用的内保温材料、外墙外保温材料燃烧性能是否为A级。</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14.生产、储存、经营易燃易爆危险品的场所是否违规与居住场所设置在同一建筑物内。生产、储存、经营其他物品的场所与居住场所设置在同一建筑物内时，安全出口是否分别设置。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Cs/>
          <w:kern w:val="0"/>
        </w:rPr>
      </w:pPr>
      <w:r>
        <w:rPr>
          <w:rFonts w:hint="eastAsia" w:ascii="楷体" w:hAnsi="楷体" w:eastAsia="楷体" w:cs="楷体"/>
          <w:bCs/>
          <w:kern w:val="0"/>
        </w:rPr>
        <w:t>（三）各类场所消防安全检查要求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1.商场、集贸市场</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1）商场与住宅位于同一建筑的，商业部分是否与住宅部分的安全出口分开设置，楼梯首层是否能够直通室外。商场、市场内的小型中转仓库是否独立设置，如必须设置在商场、市场内，是否用防火墙隔开。</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2）高层、多层公共建筑内的商场、市场，其顶棚、墙面是否采用不燃或难燃装修材料。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3）营业厅内食品加工区的明火部位是否靠外墙布置，是否采用耐火极限不低于2小时的隔墙与其他部位分隔，敞开式的食品加工区是否采用电加热设施。</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2.餐饮场所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1）设置在商住楼或住宅楼内的餐饮场所是否与住宅部分分开设置。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3）多层及高层公共建筑内的餐饮场所，其顶棚、墙面是否采用不燃或难燃装修材料。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4）场所是否张贴或悬挂安全疏散示意图，在出入口、楼梯口、疏散走道、疏散门等部位是否设灯光疏散指示标志。营业期间是否违规将安全出口上锁。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3.宾馆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1）宾馆每个楼层的安全出口是否少于2个。（</w:t>
      </w:r>
      <w:r>
        <w:rPr>
          <w:rFonts w:hint="default" w:ascii="Times New Roman" w:hAnsi="Times New Roman" w:eastAsia="仿宋_GB2312" w:cs="Times New Roman"/>
          <w:bCs/>
          <w:kern w:val="32"/>
        </w:rPr>
        <w:t>建筑面积不大于200㎡且人数不超过50人的单层宾馆，一、二级耐火等级、层数3层以下、每层建筑面积不大于200㎡且二、三层人数之和不超过50人的多层宾馆可设置一个安全出口。</w:t>
      </w:r>
      <w:r>
        <w:rPr>
          <w:rFonts w:hint="default" w:ascii="Times New Roman" w:hAnsi="Times New Roman" w:eastAsia="仿宋_GB2312" w:cs="Times New Roman"/>
          <w:bCs/>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32"/>
        </w:rPr>
      </w:pPr>
      <w:r>
        <w:rPr>
          <w:rFonts w:hint="default" w:ascii="Times New Roman" w:hAnsi="Times New Roman" w:eastAsia="仿宋_GB2312" w:cs="Times New Roman"/>
          <w:bCs/>
          <w:kern w:val="0"/>
        </w:rPr>
        <w:t>3）高层宾馆位于两个安全出口之间的房间疏散门至最近安全出口的直线距离是否大于30米，单、多层宾馆是否大于40米；位于袋形走道两侧或尽端的房间疏散门至最近安全出口的直线距离是否大于15米，单、多层宾馆是否大于22米。</w:t>
      </w:r>
      <w:r>
        <w:rPr>
          <w:rFonts w:hint="default" w:ascii="Times New Roman" w:hAnsi="Times New Roman" w:eastAsia="仿宋_GB2312" w:cs="Times New Roman"/>
          <w:bCs/>
          <w:kern w:val="32"/>
        </w:rPr>
        <w:t>（对于建筑内全部设置自动喷水灭火系统时，其安全疏散距离可增加25%。）</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4）高层宾馆和体积大于5000立方米的单、多层宾馆是否设置室内消火栓系统。任一层建筑面积大于1500平方米或总建筑面积大于3000平方米的宾馆是否设置自动喷水灭火系统和火灾自动报警系统。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5）宾馆是否设置消防应急照明和灯光疏散指示标志。灯光疏散指示标志的间距是否大于20米；对于袋形走道，是否大于10米；在走道转角区，是否大于1米。客房内是否设置醒目、耐久的</w:t>
      </w:r>
      <w:r>
        <w:rPr>
          <w:rFonts w:hint="default" w:ascii="Times New Roman" w:hAnsi="Times New Roman" w:eastAsia="仿宋_GB2312" w:cs="Times New Roman"/>
          <w:bCs/>
          <w:kern w:val="0"/>
          <w:lang w:eastAsia="zh-CN"/>
        </w:rPr>
        <w:t>“</w:t>
      </w:r>
      <w:r>
        <w:rPr>
          <w:rFonts w:hint="default" w:ascii="Times New Roman" w:hAnsi="Times New Roman" w:eastAsia="仿宋_GB2312" w:cs="Times New Roman"/>
          <w:bCs/>
          <w:kern w:val="0"/>
        </w:rPr>
        <w:t>请勿卧床吸烟</w:t>
      </w:r>
      <w:r>
        <w:rPr>
          <w:rFonts w:hint="default" w:ascii="Times New Roman" w:hAnsi="Times New Roman" w:eastAsia="仿宋_GB2312" w:cs="Times New Roman"/>
          <w:bCs/>
          <w:kern w:val="0"/>
          <w:lang w:eastAsia="zh-CN"/>
        </w:rPr>
        <w:t>”</w:t>
      </w:r>
      <w:r>
        <w:rPr>
          <w:rFonts w:hint="default" w:ascii="Times New Roman" w:hAnsi="Times New Roman" w:eastAsia="仿宋_GB2312" w:cs="Times New Roman"/>
          <w:bCs/>
          <w:kern w:val="0"/>
        </w:rPr>
        <w:t>提示牌和楼层安全疏散示意图。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6）宾馆的水平疏散走道和安全出口的门厅，其顶棚材料是否采用不燃材料装修，其他部位是否采用不燃或难燃材料装修。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7）宾馆的客房内是否配备应急手电筒、防烟面具等逃生器材及使用说明。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4.公共娱乐场所（含歌舞娱乐、网吧、美容洗浴等场所）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1）场所是否违规设置在地下二层及以下楼层；是否违规设置在</w:t>
      </w:r>
      <w:r>
        <w:rPr>
          <w:rFonts w:hint="default" w:ascii="Times New Roman" w:hAnsi="Times New Roman" w:eastAsia="仿宋_GB2312" w:cs="Times New Roman"/>
          <w:bCs/>
          <w:kern w:val="0"/>
          <w:lang w:eastAsia="zh-CN"/>
        </w:rPr>
        <w:t>“</w:t>
      </w:r>
      <w:r>
        <w:rPr>
          <w:rFonts w:hint="default" w:ascii="Times New Roman" w:hAnsi="Times New Roman" w:eastAsia="仿宋_GB2312" w:cs="Times New Roman"/>
          <w:bCs/>
          <w:kern w:val="0"/>
        </w:rPr>
        <w:t>三合一</w:t>
      </w:r>
      <w:r>
        <w:rPr>
          <w:rFonts w:hint="default" w:ascii="Times New Roman" w:hAnsi="Times New Roman" w:eastAsia="仿宋_GB2312" w:cs="Times New Roman"/>
          <w:bCs/>
          <w:kern w:val="0"/>
          <w:lang w:eastAsia="zh-CN"/>
        </w:rPr>
        <w:t>”</w:t>
      </w:r>
      <w:r>
        <w:rPr>
          <w:rFonts w:hint="default" w:ascii="Times New Roman" w:hAnsi="Times New Roman" w:eastAsia="仿宋_GB2312" w:cs="Times New Roman"/>
          <w:bCs/>
          <w:kern w:val="0"/>
        </w:rPr>
        <w:t>场所（住宿与生产、储存经营合用场所）、彩钢板建筑和村（居）民自建房内；是否违规与生产、储存、经营易燃易爆危险品场所设置在同一建筑物内；是否违规与甲、乙类危险品仓库毗邻设置。经营服务对象主要为儿童的场所是否违规设置在地下、半地下或地上四层及以上楼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场所设置在多层建筑、高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4）场所营业期间是否违规将安全出口上锁，门窗是否设置影响逃生和灭火救援的障碍物。场所是否违规存放易燃易爆危险品，设置在地下的场所是否违规使用液化石油气。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5）场所是否违规私自乱拉临时电线。是否在营业期间违规进行设备检修、电气焊、油漆粉刷等施工、维修作业，是否违规在室内燃放烟花。营业期间和营业结束后，是否指定专人进行安全巡视检查。是否注意无遗留烟头、烧香、蜡烛、使用明火等火种。确认安全后，是否切断电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6）歌厅、舞厅及其包房内，是否设置声音或图像警报，是否能够实现在火灾发生初期，将歌厅、舞厅各房间的画面、音响消除，播送火灾警报，引导人员安全疏散。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5.医院、养老院、儿童福利院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1）养老院当中的生活用房和医院的住院部分是否设置地下、半地下建筑（室）内。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3）医院、养老院的病房、疏散走道等场所是否堆放可燃物品及其他杂物，是否加设床位，疏散门是否上锁。是否在窗口、阳台等部位设置影响疏散逃生的封闭式栅栏等设施。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w:t>
      </w:r>
      <w:r>
        <w:rPr>
          <w:rFonts w:hint="default" w:ascii="Times New Roman" w:hAnsi="Times New Roman" w:eastAsia="仿宋_GB2312" w:cs="Times New Roman"/>
          <w:bCs/>
          <w:w w:val="99"/>
          <w:kern w:val="0"/>
        </w:rPr>
        <w:t>病房楼内是否违规使用液化石油气罐。医院的消防安全重点部位是否使用具有火灾危险性的电热器具，确因医疗、科研、试验需要而必须使用时，使用部门是否制定安全管理措施，明确责任人并报消防安全管理人批准、备案后，方可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6.学校（含寄宿制学校、托儿所、幼儿园，非寄宿制的学校、托儿所、幼儿园，校外培训机构）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w w:val="99"/>
          <w:kern w:val="0"/>
        </w:rPr>
      </w:pPr>
      <w:r>
        <w:rPr>
          <w:rFonts w:hint="default" w:ascii="Times New Roman" w:hAnsi="Times New Roman" w:eastAsia="仿宋_GB2312" w:cs="Times New Roman"/>
          <w:bCs/>
          <w:kern w:val="0"/>
        </w:rPr>
        <w:t>1）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2）寄宿制学校的集体宿舍是否违规使用蜡烛、电炉；当需要使用炉火采暖时，是否设专人负责，夜间是否定时进行防火巡査。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3）托儿所、幼儿园的儿童用房及儿童游乐厅等儿童活动场所是否违规使用明火取暖、照明，当必须使用时，是否采取防火、防护措施，是否设专人负责。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4）场所的厨房、烧水间是否单独设置。每间集体宿舍是否设置用电超载保护装置。电路熔断器是否违规使用铜丝、铝丝替代。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7.生产加工企业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1）住宿与生产、储存、经营合用场所的住宿与非住宿部分是否进行防火分隔，安全出口是否相互独立。厂房、仓库内是否违规设置员工宿舍。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车间内甲乙类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3）生产加工车间、员工集体宿舍是否违规擅自拉接电气线路、设置炉灶。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8.易燃易爆危险品销售场所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1）易燃易爆危险品销售场所是否违规附设在民用建筑内。易燃易爆危险品经营门店是否为独立的单层、框架或砖混结构的建筑，是否设置在建筑的一、二层，是否违规设置在地下、半地下。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门店内的货物是否违规超量储存，化学性质不同以及相互发生反应的物品或者灭火方法不同的物品是否违规混存，储存场所是否有通风、降温措施。物品的包装是否牢固、密封，是否违规存在跑、冒、滴、漏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3）易燃易爆危险品经营门店内电气装置是否采用防爆电器，敷设的配电线路是否穿金属管或难燃塑料管保护。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4）门店内是否存在吸烟、违规动火作业情况，是否违规使用电炉、明火等取暖、照明、烹饪食物。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9.仓储场所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1）仓储场所与建筑物之间是否保持足够的防火间距。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露天存放物品是否分类、分堆、分组和分垛，是否留出必要的防火间距。库存物品是否分类、分垛储存，每垛占地面积，垛与垛间距，垛与墙面间距，垛与梁、柱的间距，主要通道的宽度是否符合消防技术标准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3）场所内是否违规设置员工宿舍；确需设置办公室、休息室的，是否采用不燃烧体隔墙、楼板与库房分隔，是否设置独立的安全出口。场所的安全出口数量、宽度、间距是否符合消防技术标准要求。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4）建筑占地面积大于300平方米的仓储场所，是否设置室内消火栓。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5）场所内是否违规使用碘钨灯和超过60瓦的白炽灯等高温照明灯具。库房内敷设的配电线路，是否穿金属管或硬质阻燃塑料管保护；每个库房是否在库房外单独安装开关箱，保管人员离库时是否拉闸断电；是否违规使用不合规格的电路熔断器或断路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6）场所的电气设备周围和架空线路下方是否堆放物品；对进入场所的机动车尾气管部位，是否设置机动车排气火花熄灭器。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7）场所是否按照国家标准要求设置防雷装置，是否定期检测。库房内是否违规使用电炉、电烙铁、电熨斗等电热器具。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kern w:val="0"/>
        </w:rPr>
      </w:pPr>
      <w:r>
        <w:rPr>
          <w:rFonts w:hint="default" w:ascii="Times New Roman" w:hAnsi="Times New Roman" w:eastAsia="仿宋_GB2312" w:cs="Times New Roman"/>
          <w:bCs/>
          <w:kern w:val="0"/>
        </w:rPr>
        <w:t>8）物品入库前是否有专人负责检査，是否确定无火种等隐患后，方准入库。库房内和堆场是否违规使用明火,是否违规使用火炉取暖；库房外动用明火作业是否经过审批，是否做好防护措施。场所是否设置醒目的防火警示标识</w:t>
      </w:r>
      <w:r>
        <w:rPr>
          <w:rFonts w:hint="eastAsia" w:ascii="仿宋_GB2312" w:hAnsi="仿宋_GB2312" w:eastAsia="仿宋_GB2312" w:cs="仿宋_GB2312"/>
          <w:bCs/>
          <w:kern w:val="0"/>
        </w:rPr>
        <w:t>。</w:t>
      </w:r>
    </w:p>
    <w:p>
      <w:pPr>
        <w:spacing w:line="590" w:lineRule="exact"/>
        <w:ind w:firstLine="632" w:firstLineChars="200"/>
        <w:rPr>
          <w:rFonts w:eastAsia="方正仿宋_GBK"/>
          <w:bCs/>
          <w:kern w:val="0"/>
        </w:rPr>
      </w:pPr>
    </w:p>
    <w:p>
      <w:pPr>
        <w:spacing w:line="590" w:lineRule="exact"/>
        <w:ind w:firstLine="632" w:firstLineChars="200"/>
        <w:rPr>
          <w:rFonts w:eastAsia="方正仿宋_GBK"/>
          <w:bCs/>
          <w:kern w:val="0"/>
        </w:rPr>
        <w:sectPr>
          <w:pgSz w:w="11906" w:h="16838"/>
          <w:pgMar w:top="1814" w:right="1531" w:bottom="1984" w:left="1531" w:header="851" w:footer="992" w:gutter="0"/>
          <w:cols w:space="720" w:num="1"/>
          <w:docGrid w:type="linesAndChars" w:linePitch="579" w:charSpace="-849"/>
        </w:sectPr>
      </w:pPr>
    </w:p>
    <w:p>
      <w:pPr>
        <w:pStyle w:val="13"/>
        <w:spacing w:line="600" w:lineRule="exact"/>
        <w:rPr>
          <w:rFonts w:hint="eastAsia" w:ascii="黑体" w:hAnsi="黑体" w:eastAsia="黑体" w:cs="黑体"/>
          <w:color w:val="auto"/>
          <w:sz w:val="32"/>
        </w:rPr>
      </w:pPr>
      <w:r>
        <w:rPr>
          <w:rFonts w:hint="eastAsia" w:ascii="黑体" w:hAnsi="黑体" w:eastAsia="黑体" w:cs="黑体"/>
          <w:color w:val="auto"/>
          <w:sz w:val="32"/>
        </w:rPr>
        <w:t>附件4</w:t>
      </w:r>
    </w:p>
    <w:p>
      <w:pPr>
        <w:pStyle w:val="13"/>
        <w:spacing w:line="600" w:lineRule="exact"/>
        <w:jc w:val="center"/>
        <w:rPr>
          <w:rFonts w:hint="eastAsia" w:eastAsia="方正仿宋_GBK"/>
          <w:bCs/>
        </w:rPr>
      </w:pPr>
      <w:r>
        <w:rPr>
          <w:rFonts w:hint="eastAsia" w:eastAsia="方正小标宋_GBK"/>
          <w:spacing w:val="-10"/>
          <w:sz w:val="36"/>
          <w:szCs w:val="44"/>
        </w:rPr>
        <w:t>单位消防安全集中除患攻坚大整治行动排查登记表</w:t>
      </w:r>
    </w:p>
    <w:p>
      <w:pPr>
        <w:pStyle w:val="13"/>
        <w:spacing w:line="600" w:lineRule="exact"/>
        <w:rPr>
          <w:rFonts w:hint="eastAsia" w:eastAsia="方正仿宋_GBK"/>
          <w:bCs/>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
        <w:gridCol w:w="1752"/>
        <w:gridCol w:w="1197"/>
        <w:gridCol w:w="1726"/>
        <w:gridCol w:w="1533"/>
        <w:gridCol w:w="1417"/>
        <w:gridCol w:w="1444"/>
        <w:gridCol w:w="851"/>
        <w:gridCol w:w="1276"/>
        <w:gridCol w:w="1079"/>
        <w:gridCol w:w="119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1" w:type="dxa"/>
            <w:vMerge w:val="restart"/>
            <w:noWrap w:val="0"/>
            <w:vAlign w:val="center"/>
          </w:tcPr>
          <w:p>
            <w:pPr>
              <w:pStyle w:val="13"/>
              <w:spacing w:line="600" w:lineRule="exact"/>
              <w:jc w:val="center"/>
              <w:rPr>
                <w:rFonts w:hint="eastAsia" w:ascii="方正黑体_GBK" w:eastAsia="方正黑体_GBK"/>
                <w:bCs/>
              </w:rPr>
            </w:pPr>
            <w:r>
              <w:rPr>
                <w:rFonts w:hint="eastAsia" w:ascii="方正黑体_GBK" w:eastAsia="方正黑体_GBK"/>
                <w:bCs/>
              </w:rPr>
              <w:t>序号</w:t>
            </w:r>
          </w:p>
        </w:tc>
        <w:tc>
          <w:tcPr>
            <w:tcW w:w="1752" w:type="dxa"/>
            <w:vMerge w:val="restart"/>
            <w:noWrap w:val="0"/>
            <w:vAlign w:val="center"/>
          </w:tcPr>
          <w:p>
            <w:pPr>
              <w:pStyle w:val="13"/>
              <w:spacing w:line="600" w:lineRule="exact"/>
              <w:jc w:val="center"/>
              <w:rPr>
                <w:rFonts w:hint="eastAsia" w:ascii="方正黑体_GBK" w:eastAsia="方正黑体_GBK"/>
                <w:bCs/>
              </w:rPr>
            </w:pPr>
            <w:r>
              <w:rPr>
                <w:rFonts w:hint="eastAsia" w:ascii="方正黑体_GBK" w:eastAsia="方正黑体_GBK"/>
                <w:bCs/>
              </w:rPr>
              <w:t>单位名称</w:t>
            </w:r>
          </w:p>
        </w:tc>
        <w:tc>
          <w:tcPr>
            <w:tcW w:w="1197" w:type="dxa"/>
            <w:vMerge w:val="restart"/>
            <w:noWrap w:val="0"/>
            <w:vAlign w:val="center"/>
          </w:tcPr>
          <w:p>
            <w:pPr>
              <w:pStyle w:val="13"/>
              <w:spacing w:line="600" w:lineRule="exact"/>
              <w:jc w:val="center"/>
              <w:rPr>
                <w:rFonts w:hint="eastAsia" w:ascii="方正黑体_GBK" w:eastAsia="方正黑体_GBK"/>
                <w:bCs/>
              </w:rPr>
            </w:pPr>
            <w:r>
              <w:rPr>
                <w:rFonts w:hint="eastAsia" w:ascii="方正黑体_GBK" w:eastAsia="方正黑体_GBK"/>
                <w:bCs/>
              </w:rPr>
              <w:t>地址</w:t>
            </w:r>
          </w:p>
        </w:tc>
        <w:tc>
          <w:tcPr>
            <w:tcW w:w="1726" w:type="dxa"/>
            <w:vMerge w:val="restart"/>
            <w:noWrap w:val="0"/>
            <w:vAlign w:val="center"/>
          </w:tcPr>
          <w:p>
            <w:pPr>
              <w:pStyle w:val="13"/>
              <w:spacing w:line="600" w:lineRule="exact"/>
              <w:jc w:val="center"/>
              <w:rPr>
                <w:rFonts w:hint="eastAsia" w:ascii="方正黑体_GBK" w:eastAsia="方正黑体_GBK"/>
                <w:bCs/>
              </w:rPr>
            </w:pPr>
            <w:r>
              <w:rPr>
                <w:rFonts w:hint="eastAsia" w:ascii="方正黑体_GBK" w:eastAsia="方正黑体_GBK"/>
                <w:bCs/>
              </w:rPr>
              <w:t>联系人及电话</w:t>
            </w:r>
          </w:p>
        </w:tc>
        <w:tc>
          <w:tcPr>
            <w:tcW w:w="1533" w:type="dxa"/>
            <w:vMerge w:val="restart"/>
            <w:noWrap w:val="0"/>
            <w:vAlign w:val="center"/>
          </w:tcPr>
          <w:p>
            <w:pPr>
              <w:pStyle w:val="13"/>
              <w:spacing w:line="600" w:lineRule="exact"/>
              <w:jc w:val="center"/>
              <w:rPr>
                <w:rFonts w:hint="eastAsia" w:ascii="方正黑体_GBK" w:eastAsia="方正黑体_GBK"/>
                <w:bCs/>
              </w:rPr>
            </w:pPr>
            <w:r>
              <w:rPr>
                <w:rFonts w:hint="eastAsia" w:ascii="方正黑体_GBK" w:eastAsia="方正黑体_GBK"/>
                <w:bCs/>
              </w:rPr>
              <w:t>单位类别</w:t>
            </w:r>
          </w:p>
        </w:tc>
        <w:tc>
          <w:tcPr>
            <w:tcW w:w="1417" w:type="dxa"/>
            <w:vMerge w:val="restart"/>
            <w:noWrap w:val="0"/>
            <w:vAlign w:val="center"/>
          </w:tcPr>
          <w:p>
            <w:pPr>
              <w:pStyle w:val="13"/>
              <w:spacing w:line="600" w:lineRule="exact"/>
              <w:jc w:val="center"/>
              <w:rPr>
                <w:rFonts w:hint="eastAsia" w:ascii="方正黑体_GBK" w:eastAsia="方正黑体_GBK"/>
                <w:bCs/>
              </w:rPr>
            </w:pPr>
            <w:r>
              <w:rPr>
                <w:rFonts w:hint="eastAsia" w:ascii="方正黑体_GBK" w:eastAsia="方正黑体_GBK"/>
                <w:bCs/>
              </w:rPr>
              <w:t>存在问题</w:t>
            </w:r>
          </w:p>
        </w:tc>
        <w:tc>
          <w:tcPr>
            <w:tcW w:w="1444" w:type="dxa"/>
            <w:vMerge w:val="restart"/>
            <w:noWrap w:val="0"/>
            <w:vAlign w:val="center"/>
          </w:tcPr>
          <w:p>
            <w:pPr>
              <w:pStyle w:val="13"/>
              <w:spacing w:line="320" w:lineRule="exact"/>
              <w:jc w:val="center"/>
              <w:rPr>
                <w:rFonts w:hint="eastAsia" w:ascii="方正黑体_GBK" w:eastAsia="方正黑体_GBK"/>
                <w:bCs/>
              </w:rPr>
            </w:pPr>
            <w:r>
              <w:rPr>
                <w:rFonts w:hint="eastAsia" w:ascii="方正黑体_GBK" w:eastAsia="方正黑体_GBK"/>
                <w:bCs/>
              </w:rPr>
              <w:t>是否构成重大火灾隐患</w:t>
            </w:r>
          </w:p>
        </w:tc>
        <w:tc>
          <w:tcPr>
            <w:tcW w:w="851" w:type="dxa"/>
            <w:vMerge w:val="restart"/>
            <w:noWrap w:val="0"/>
            <w:vAlign w:val="top"/>
          </w:tcPr>
          <w:p>
            <w:pPr>
              <w:pStyle w:val="13"/>
              <w:spacing w:line="320" w:lineRule="exact"/>
              <w:jc w:val="center"/>
              <w:rPr>
                <w:rFonts w:hint="eastAsia" w:ascii="方正黑体_GBK" w:eastAsia="方正黑体_GBK"/>
                <w:bCs/>
              </w:rPr>
            </w:pPr>
            <w:r>
              <w:rPr>
                <w:rFonts w:hint="eastAsia" w:ascii="方正黑体_GBK" w:eastAsia="方正黑体_GBK"/>
                <w:bCs/>
              </w:rPr>
              <w:t>整改措施</w:t>
            </w:r>
          </w:p>
        </w:tc>
        <w:tc>
          <w:tcPr>
            <w:tcW w:w="2355" w:type="dxa"/>
            <w:gridSpan w:val="2"/>
            <w:tcBorders>
              <w:bottom w:val="single" w:color="auto" w:sz="4" w:space="0"/>
            </w:tcBorders>
            <w:noWrap w:val="0"/>
            <w:vAlign w:val="top"/>
          </w:tcPr>
          <w:p>
            <w:pPr>
              <w:pStyle w:val="13"/>
              <w:spacing w:line="320" w:lineRule="exact"/>
              <w:jc w:val="center"/>
              <w:rPr>
                <w:rFonts w:hint="eastAsia" w:ascii="方正黑体_GBK" w:eastAsia="方正黑体_GBK"/>
                <w:bCs/>
                <w:sz w:val="21"/>
              </w:rPr>
            </w:pPr>
            <w:r>
              <w:rPr>
                <w:rFonts w:hint="eastAsia" w:ascii="方正黑体_GBK" w:eastAsia="方正黑体_GBK"/>
                <w:bCs/>
                <w:sz w:val="21"/>
              </w:rPr>
              <w:t>拆除铁栅栏、防盗网、广告牌</w:t>
            </w:r>
          </w:p>
        </w:tc>
        <w:tc>
          <w:tcPr>
            <w:tcW w:w="1193" w:type="dxa"/>
            <w:vMerge w:val="restart"/>
            <w:noWrap w:val="0"/>
            <w:vAlign w:val="top"/>
          </w:tcPr>
          <w:p>
            <w:pPr>
              <w:pStyle w:val="13"/>
              <w:spacing w:line="320" w:lineRule="exact"/>
              <w:jc w:val="center"/>
              <w:rPr>
                <w:rFonts w:hint="eastAsia" w:ascii="方正黑体_GBK" w:eastAsia="方正黑体_GBK"/>
                <w:bCs/>
              </w:rPr>
            </w:pPr>
            <w:r>
              <w:rPr>
                <w:rFonts w:hint="eastAsia" w:ascii="方正黑体_GBK" w:eastAsia="方正黑体_GBK"/>
                <w:bCs/>
              </w:rPr>
              <w:t>是否整改完毕</w:t>
            </w:r>
          </w:p>
        </w:tc>
        <w:tc>
          <w:tcPr>
            <w:tcW w:w="992" w:type="dxa"/>
            <w:vMerge w:val="restart"/>
            <w:noWrap w:val="0"/>
            <w:vAlign w:val="center"/>
          </w:tcPr>
          <w:p>
            <w:pPr>
              <w:pStyle w:val="13"/>
              <w:spacing w:line="320" w:lineRule="exact"/>
              <w:jc w:val="center"/>
              <w:rPr>
                <w:rFonts w:hint="eastAsia" w:ascii="方正黑体_GBK" w:eastAsia="方正黑体_GBK"/>
                <w:bCs/>
              </w:rPr>
            </w:pPr>
            <w:r>
              <w:rPr>
                <w:rFonts w:hint="eastAsia" w:ascii="方正黑体_GBK" w:eastAsia="方正黑体_GBK"/>
                <w:bCs/>
              </w:rPr>
              <w:t>检查人员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921" w:type="dxa"/>
            <w:vMerge w:val="continue"/>
            <w:noWrap w:val="0"/>
            <w:vAlign w:val="center"/>
          </w:tcPr>
          <w:p>
            <w:pPr>
              <w:pStyle w:val="13"/>
              <w:spacing w:line="600" w:lineRule="exact"/>
              <w:jc w:val="center"/>
              <w:rPr>
                <w:rFonts w:hint="eastAsia" w:ascii="方正黑体_GBK" w:eastAsia="方正黑体_GBK"/>
                <w:bCs/>
              </w:rPr>
            </w:pPr>
          </w:p>
        </w:tc>
        <w:tc>
          <w:tcPr>
            <w:tcW w:w="1752" w:type="dxa"/>
            <w:vMerge w:val="continue"/>
            <w:noWrap w:val="0"/>
            <w:vAlign w:val="center"/>
          </w:tcPr>
          <w:p>
            <w:pPr>
              <w:pStyle w:val="13"/>
              <w:spacing w:line="600" w:lineRule="exact"/>
              <w:jc w:val="center"/>
              <w:rPr>
                <w:rFonts w:hint="eastAsia" w:ascii="方正黑体_GBK" w:eastAsia="方正黑体_GBK"/>
                <w:bCs/>
              </w:rPr>
            </w:pPr>
          </w:p>
        </w:tc>
        <w:tc>
          <w:tcPr>
            <w:tcW w:w="1197" w:type="dxa"/>
            <w:vMerge w:val="continue"/>
            <w:noWrap w:val="0"/>
            <w:vAlign w:val="center"/>
          </w:tcPr>
          <w:p>
            <w:pPr>
              <w:pStyle w:val="13"/>
              <w:spacing w:line="600" w:lineRule="exact"/>
              <w:jc w:val="center"/>
              <w:rPr>
                <w:rFonts w:hint="eastAsia" w:ascii="方正黑体_GBK" w:eastAsia="方正黑体_GBK"/>
                <w:bCs/>
              </w:rPr>
            </w:pPr>
          </w:p>
        </w:tc>
        <w:tc>
          <w:tcPr>
            <w:tcW w:w="1726" w:type="dxa"/>
            <w:vMerge w:val="continue"/>
            <w:noWrap w:val="0"/>
            <w:vAlign w:val="center"/>
          </w:tcPr>
          <w:p>
            <w:pPr>
              <w:pStyle w:val="13"/>
              <w:spacing w:line="600" w:lineRule="exact"/>
              <w:jc w:val="center"/>
              <w:rPr>
                <w:rFonts w:hint="eastAsia" w:ascii="方正黑体_GBK" w:eastAsia="方正黑体_GBK"/>
                <w:bCs/>
              </w:rPr>
            </w:pPr>
          </w:p>
        </w:tc>
        <w:tc>
          <w:tcPr>
            <w:tcW w:w="1533" w:type="dxa"/>
            <w:vMerge w:val="continue"/>
            <w:noWrap w:val="0"/>
            <w:vAlign w:val="center"/>
          </w:tcPr>
          <w:p>
            <w:pPr>
              <w:pStyle w:val="13"/>
              <w:spacing w:line="600" w:lineRule="exact"/>
              <w:jc w:val="center"/>
              <w:rPr>
                <w:rFonts w:hint="eastAsia" w:ascii="方正黑体_GBK" w:eastAsia="方正黑体_GBK"/>
                <w:bCs/>
              </w:rPr>
            </w:pPr>
          </w:p>
        </w:tc>
        <w:tc>
          <w:tcPr>
            <w:tcW w:w="1417" w:type="dxa"/>
            <w:vMerge w:val="continue"/>
            <w:noWrap w:val="0"/>
            <w:vAlign w:val="center"/>
          </w:tcPr>
          <w:p>
            <w:pPr>
              <w:pStyle w:val="13"/>
              <w:spacing w:line="600" w:lineRule="exact"/>
              <w:jc w:val="center"/>
              <w:rPr>
                <w:rFonts w:hint="eastAsia" w:ascii="方正黑体_GBK" w:eastAsia="方正黑体_GBK"/>
                <w:bCs/>
              </w:rPr>
            </w:pPr>
          </w:p>
        </w:tc>
        <w:tc>
          <w:tcPr>
            <w:tcW w:w="1444" w:type="dxa"/>
            <w:vMerge w:val="continue"/>
            <w:noWrap w:val="0"/>
            <w:vAlign w:val="center"/>
          </w:tcPr>
          <w:p>
            <w:pPr>
              <w:pStyle w:val="13"/>
              <w:spacing w:line="320" w:lineRule="exact"/>
              <w:jc w:val="center"/>
              <w:rPr>
                <w:rFonts w:hint="eastAsia" w:ascii="方正黑体_GBK" w:eastAsia="方正黑体_GBK"/>
                <w:bCs/>
              </w:rPr>
            </w:pPr>
          </w:p>
        </w:tc>
        <w:tc>
          <w:tcPr>
            <w:tcW w:w="851" w:type="dxa"/>
            <w:vMerge w:val="continue"/>
            <w:noWrap w:val="0"/>
            <w:vAlign w:val="top"/>
          </w:tcPr>
          <w:p>
            <w:pPr>
              <w:pStyle w:val="13"/>
              <w:spacing w:line="320" w:lineRule="exact"/>
              <w:jc w:val="center"/>
              <w:rPr>
                <w:rFonts w:hint="eastAsia" w:ascii="方正黑体_GBK" w:eastAsia="方正黑体_GBK"/>
                <w:bCs/>
              </w:rPr>
            </w:pPr>
          </w:p>
        </w:tc>
        <w:tc>
          <w:tcPr>
            <w:tcW w:w="1276" w:type="dxa"/>
            <w:tcBorders>
              <w:top w:val="single" w:color="auto" w:sz="4" w:space="0"/>
              <w:right w:val="single" w:color="auto" w:sz="4" w:space="0"/>
            </w:tcBorders>
            <w:noWrap w:val="0"/>
            <w:vAlign w:val="top"/>
          </w:tcPr>
          <w:p>
            <w:pPr>
              <w:pStyle w:val="13"/>
              <w:spacing w:line="320" w:lineRule="exact"/>
              <w:jc w:val="center"/>
              <w:rPr>
                <w:rFonts w:hint="eastAsia" w:ascii="方正黑体_GBK" w:eastAsia="方正黑体_GBK"/>
                <w:bCs/>
                <w:sz w:val="21"/>
              </w:rPr>
            </w:pPr>
            <w:r>
              <w:rPr>
                <w:rFonts w:hint="eastAsia" w:ascii="方正黑体_GBK" w:eastAsia="方正黑体_GBK"/>
                <w:bCs/>
                <w:sz w:val="21"/>
              </w:rPr>
              <w:t>处</w:t>
            </w:r>
          </w:p>
        </w:tc>
        <w:tc>
          <w:tcPr>
            <w:tcW w:w="1079" w:type="dxa"/>
            <w:tcBorders>
              <w:top w:val="single" w:color="auto" w:sz="4" w:space="0"/>
              <w:left w:val="single" w:color="auto" w:sz="4" w:space="0"/>
            </w:tcBorders>
            <w:noWrap w:val="0"/>
            <w:vAlign w:val="top"/>
          </w:tcPr>
          <w:p>
            <w:pPr>
              <w:pStyle w:val="13"/>
              <w:spacing w:line="320" w:lineRule="exact"/>
              <w:jc w:val="center"/>
              <w:rPr>
                <w:rFonts w:hint="eastAsia" w:ascii="方正黑体_GBK" w:eastAsia="方正黑体_GBK"/>
                <w:bCs/>
                <w:sz w:val="21"/>
              </w:rPr>
            </w:pPr>
            <w:r>
              <w:rPr>
                <w:rFonts w:hint="eastAsia" w:ascii="方正黑体_GBK" w:eastAsia="方正黑体_GBK"/>
                <w:bCs/>
                <w:sz w:val="21"/>
              </w:rPr>
              <w:t>面积</w:t>
            </w:r>
          </w:p>
        </w:tc>
        <w:tc>
          <w:tcPr>
            <w:tcW w:w="1193" w:type="dxa"/>
            <w:vMerge w:val="continue"/>
            <w:noWrap w:val="0"/>
            <w:vAlign w:val="top"/>
          </w:tcPr>
          <w:p>
            <w:pPr>
              <w:pStyle w:val="13"/>
              <w:spacing w:line="320" w:lineRule="exact"/>
              <w:jc w:val="center"/>
              <w:rPr>
                <w:rFonts w:hint="eastAsia" w:ascii="方正黑体_GBK" w:eastAsia="方正黑体_GBK"/>
                <w:bCs/>
              </w:rPr>
            </w:pPr>
          </w:p>
        </w:tc>
        <w:tc>
          <w:tcPr>
            <w:tcW w:w="992" w:type="dxa"/>
            <w:vMerge w:val="continue"/>
            <w:noWrap w:val="0"/>
            <w:vAlign w:val="center"/>
          </w:tcPr>
          <w:p>
            <w:pPr>
              <w:pStyle w:val="13"/>
              <w:spacing w:line="320" w:lineRule="exact"/>
              <w:jc w:val="center"/>
              <w:rPr>
                <w:rFonts w:hint="eastAsia" w:ascii="方正黑体_GBK" w:eastAsia="方正黑体_GBK"/>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21" w:type="dxa"/>
            <w:noWrap w:val="0"/>
            <w:vAlign w:val="center"/>
          </w:tcPr>
          <w:p>
            <w:pPr>
              <w:pStyle w:val="13"/>
              <w:spacing w:line="400" w:lineRule="exact"/>
              <w:jc w:val="center"/>
              <w:rPr>
                <w:rFonts w:hint="eastAsia" w:eastAsia="方正仿宋_GBK"/>
                <w:bCs/>
              </w:rPr>
            </w:pPr>
            <w:r>
              <w:rPr>
                <w:rFonts w:hint="eastAsia" w:eastAsia="方正仿宋_GBK"/>
                <w:bCs/>
              </w:rPr>
              <w:t>1</w:t>
            </w:r>
          </w:p>
        </w:tc>
        <w:tc>
          <w:tcPr>
            <w:tcW w:w="1752" w:type="dxa"/>
            <w:noWrap w:val="0"/>
            <w:vAlign w:val="center"/>
          </w:tcPr>
          <w:p>
            <w:pPr>
              <w:pStyle w:val="13"/>
              <w:spacing w:line="400" w:lineRule="exact"/>
              <w:jc w:val="center"/>
              <w:rPr>
                <w:rFonts w:hint="eastAsia" w:eastAsia="方正仿宋_GBK"/>
                <w:bCs/>
              </w:rPr>
            </w:pPr>
            <w:r>
              <w:rPr>
                <w:rFonts w:hint="eastAsia" w:eastAsia="方正仿宋_GBK"/>
                <w:bCs/>
              </w:rPr>
              <w:t>营业执照名称</w:t>
            </w:r>
          </w:p>
          <w:p>
            <w:pPr>
              <w:pStyle w:val="13"/>
              <w:spacing w:line="400" w:lineRule="exact"/>
              <w:jc w:val="center"/>
              <w:rPr>
                <w:rFonts w:hint="eastAsia" w:eastAsia="方正仿宋_GBK"/>
                <w:bCs/>
              </w:rPr>
            </w:pPr>
            <w:r>
              <w:rPr>
                <w:rFonts w:hint="eastAsia" w:eastAsia="方正仿宋_GBK"/>
                <w:bCs/>
              </w:rPr>
              <w:t>（门头照名称）</w:t>
            </w:r>
          </w:p>
        </w:tc>
        <w:tc>
          <w:tcPr>
            <w:tcW w:w="1197" w:type="dxa"/>
            <w:noWrap w:val="0"/>
            <w:vAlign w:val="center"/>
          </w:tcPr>
          <w:p>
            <w:pPr>
              <w:pStyle w:val="13"/>
              <w:spacing w:line="400" w:lineRule="exact"/>
              <w:jc w:val="center"/>
              <w:rPr>
                <w:rFonts w:hint="eastAsia" w:eastAsia="方正仿宋_GBK"/>
                <w:bCs/>
              </w:rPr>
            </w:pPr>
          </w:p>
        </w:tc>
        <w:tc>
          <w:tcPr>
            <w:tcW w:w="1726" w:type="dxa"/>
            <w:noWrap w:val="0"/>
            <w:vAlign w:val="center"/>
          </w:tcPr>
          <w:p>
            <w:pPr>
              <w:pStyle w:val="13"/>
              <w:spacing w:line="400" w:lineRule="exact"/>
              <w:jc w:val="center"/>
              <w:rPr>
                <w:rFonts w:hint="eastAsia" w:eastAsia="方正仿宋_GBK"/>
                <w:bCs/>
              </w:rPr>
            </w:pPr>
          </w:p>
        </w:tc>
        <w:tc>
          <w:tcPr>
            <w:tcW w:w="1533" w:type="dxa"/>
            <w:noWrap w:val="0"/>
            <w:vAlign w:val="center"/>
          </w:tcPr>
          <w:p>
            <w:pPr>
              <w:pStyle w:val="13"/>
              <w:spacing w:line="400" w:lineRule="exact"/>
              <w:jc w:val="center"/>
              <w:rPr>
                <w:rFonts w:hint="eastAsia" w:eastAsia="方正仿宋_GBK"/>
                <w:bCs/>
              </w:rPr>
            </w:pPr>
          </w:p>
        </w:tc>
        <w:tc>
          <w:tcPr>
            <w:tcW w:w="1417" w:type="dxa"/>
            <w:noWrap w:val="0"/>
            <w:vAlign w:val="center"/>
          </w:tcPr>
          <w:p>
            <w:pPr>
              <w:pStyle w:val="13"/>
              <w:spacing w:line="400" w:lineRule="exact"/>
              <w:jc w:val="center"/>
              <w:rPr>
                <w:rFonts w:hint="eastAsia" w:eastAsia="方正仿宋_GBK"/>
                <w:bCs/>
              </w:rPr>
            </w:pPr>
          </w:p>
        </w:tc>
        <w:tc>
          <w:tcPr>
            <w:tcW w:w="1444" w:type="dxa"/>
            <w:noWrap w:val="0"/>
            <w:vAlign w:val="center"/>
          </w:tcPr>
          <w:p>
            <w:pPr>
              <w:pStyle w:val="13"/>
              <w:spacing w:line="400" w:lineRule="exact"/>
              <w:jc w:val="center"/>
              <w:rPr>
                <w:rFonts w:hint="eastAsia" w:eastAsia="方正仿宋_GBK"/>
                <w:bCs/>
              </w:rPr>
            </w:pPr>
          </w:p>
        </w:tc>
        <w:tc>
          <w:tcPr>
            <w:tcW w:w="851" w:type="dxa"/>
            <w:noWrap w:val="0"/>
            <w:vAlign w:val="top"/>
          </w:tcPr>
          <w:p>
            <w:pPr>
              <w:pStyle w:val="13"/>
              <w:spacing w:line="400" w:lineRule="exact"/>
              <w:jc w:val="center"/>
              <w:rPr>
                <w:rFonts w:hint="eastAsia" w:eastAsia="方正仿宋_GBK"/>
                <w:bCs/>
              </w:rPr>
            </w:pPr>
          </w:p>
        </w:tc>
        <w:tc>
          <w:tcPr>
            <w:tcW w:w="1276" w:type="dxa"/>
            <w:tcBorders>
              <w:right w:val="single" w:color="auto" w:sz="4" w:space="0"/>
            </w:tcBorders>
            <w:noWrap w:val="0"/>
            <w:vAlign w:val="top"/>
          </w:tcPr>
          <w:p>
            <w:pPr>
              <w:pStyle w:val="13"/>
              <w:spacing w:line="400" w:lineRule="exact"/>
              <w:jc w:val="center"/>
              <w:rPr>
                <w:rFonts w:hint="eastAsia" w:eastAsia="方正仿宋_GBK"/>
                <w:bCs/>
              </w:rPr>
            </w:pPr>
          </w:p>
        </w:tc>
        <w:tc>
          <w:tcPr>
            <w:tcW w:w="1079" w:type="dxa"/>
            <w:tcBorders>
              <w:left w:val="single" w:color="auto" w:sz="4" w:space="0"/>
            </w:tcBorders>
            <w:noWrap w:val="0"/>
            <w:vAlign w:val="top"/>
          </w:tcPr>
          <w:p>
            <w:pPr>
              <w:pStyle w:val="13"/>
              <w:spacing w:line="400" w:lineRule="exact"/>
              <w:jc w:val="center"/>
              <w:rPr>
                <w:rFonts w:hint="eastAsia" w:eastAsia="方正仿宋_GBK"/>
                <w:bCs/>
              </w:rPr>
            </w:pPr>
          </w:p>
        </w:tc>
        <w:tc>
          <w:tcPr>
            <w:tcW w:w="1193" w:type="dxa"/>
            <w:noWrap w:val="0"/>
            <w:vAlign w:val="top"/>
          </w:tcPr>
          <w:p>
            <w:pPr>
              <w:pStyle w:val="13"/>
              <w:spacing w:line="400" w:lineRule="exact"/>
              <w:jc w:val="center"/>
              <w:rPr>
                <w:rFonts w:hint="eastAsia" w:eastAsia="方正仿宋_GBK"/>
                <w:bCs/>
              </w:rPr>
            </w:pPr>
          </w:p>
        </w:tc>
        <w:tc>
          <w:tcPr>
            <w:tcW w:w="992" w:type="dxa"/>
            <w:noWrap w:val="0"/>
            <w:vAlign w:val="center"/>
          </w:tcPr>
          <w:p>
            <w:pPr>
              <w:pStyle w:val="13"/>
              <w:spacing w:line="400" w:lineRule="exact"/>
              <w:jc w:val="center"/>
              <w:rPr>
                <w:rFonts w:hint="eastAsia" w:eastAsia="方正仿宋_GBK"/>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21" w:type="dxa"/>
            <w:noWrap w:val="0"/>
            <w:vAlign w:val="center"/>
          </w:tcPr>
          <w:p>
            <w:pPr>
              <w:pStyle w:val="13"/>
              <w:spacing w:line="400" w:lineRule="exact"/>
              <w:jc w:val="center"/>
              <w:rPr>
                <w:rFonts w:hint="eastAsia" w:eastAsia="方正仿宋_GBK"/>
                <w:bCs/>
              </w:rPr>
            </w:pPr>
          </w:p>
        </w:tc>
        <w:tc>
          <w:tcPr>
            <w:tcW w:w="1752" w:type="dxa"/>
            <w:noWrap w:val="0"/>
            <w:vAlign w:val="center"/>
          </w:tcPr>
          <w:p>
            <w:pPr>
              <w:pStyle w:val="13"/>
              <w:spacing w:line="400" w:lineRule="exact"/>
              <w:jc w:val="center"/>
              <w:rPr>
                <w:rFonts w:hint="eastAsia" w:eastAsia="方正仿宋_GBK"/>
                <w:bCs/>
              </w:rPr>
            </w:pPr>
          </w:p>
        </w:tc>
        <w:tc>
          <w:tcPr>
            <w:tcW w:w="1197" w:type="dxa"/>
            <w:noWrap w:val="0"/>
            <w:vAlign w:val="center"/>
          </w:tcPr>
          <w:p>
            <w:pPr>
              <w:pStyle w:val="13"/>
              <w:spacing w:line="400" w:lineRule="exact"/>
              <w:jc w:val="center"/>
              <w:rPr>
                <w:rFonts w:hint="eastAsia" w:eastAsia="方正仿宋_GBK"/>
                <w:bCs/>
              </w:rPr>
            </w:pPr>
          </w:p>
        </w:tc>
        <w:tc>
          <w:tcPr>
            <w:tcW w:w="1726" w:type="dxa"/>
            <w:noWrap w:val="0"/>
            <w:vAlign w:val="center"/>
          </w:tcPr>
          <w:p>
            <w:pPr>
              <w:pStyle w:val="13"/>
              <w:spacing w:line="400" w:lineRule="exact"/>
              <w:jc w:val="center"/>
              <w:rPr>
                <w:rFonts w:hint="eastAsia" w:eastAsia="方正仿宋_GBK"/>
                <w:bCs/>
              </w:rPr>
            </w:pPr>
          </w:p>
        </w:tc>
        <w:tc>
          <w:tcPr>
            <w:tcW w:w="1533" w:type="dxa"/>
            <w:noWrap w:val="0"/>
            <w:vAlign w:val="center"/>
          </w:tcPr>
          <w:p>
            <w:pPr>
              <w:pStyle w:val="13"/>
              <w:spacing w:line="400" w:lineRule="exact"/>
              <w:jc w:val="center"/>
              <w:rPr>
                <w:rFonts w:hint="eastAsia" w:eastAsia="方正仿宋_GBK"/>
                <w:bCs/>
              </w:rPr>
            </w:pPr>
          </w:p>
        </w:tc>
        <w:tc>
          <w:tcPr>
            <w:tcW w:w="1417" w:type="dxa"/>
            <w:noWrap w:val="0"/>
            <w:vAlign w:val="center"/>
          </w:tcPr>
          <w:p>
            <w:pPr>
              <w:pStyle w:val="13"/>
              <w:spacing w:line="400" w:lineRule="exact"/>
              <w:jc w:val="center"/>
              <w:rPr>
                <w:rFonts w:hint="eastAsia" w:eastAsia="方正仿宋_GBK"/>
                <w:bCs/>
              </w:rPr>
            </w:pPr>
          </w:p>
        </w:tc>
        <w:tc>
          <w:tcPr>
            <w:tcW w:w="1444" w:type="dxa"/>
            <w:noWrap w:val="0"/>
            <w:vAlign w:val="center"/>
          </w:tcPr>
          <w:p>
            <w:pPr>
              <w:pStyle w:val="13"/>
              <w:spacing w:line="400" w:lineRule="exact"/>
              <w:jc w:val="center"/>
              <w:rPr>
                <w:rFonts w:hint="eastAsia" w:eastAsia="方正仿宋_GBK"/>
                <w:bCs/>
              </w:rPr>
            </w:pPr>
          </w:p>
        </w:tc>
        <w:tc>
          <w:tcPr>
            <w:tcW w:w="851" w:type="dxa"/>
            <w:noWrap w:val="0"/>
            <w:vAlign w:val="top"/>
          </w:tcPr>
          <w:p>
            <w:pPr>
              <w:pStyle w:val="13"/>
              <w:spacing w:line="400" w:lineRule="exact"/>
              <w:jc w:val="center"/>
              <w:rPr>
                <w:rFonts w:hint="eastAsia" w:eastAsia="方正仿宋_GBK"/>
                <w:bCs/>
              </w:rPr>
            </w:pPr>
          </w:p>
        </w:tc>
        <w:tc>
          <w:tcPr>
            <w:tcW w:w="1276" w:type="dxa"/>
            <w:noWrap w:val="0"/>
            <w:vAlign w:val="top"/>
          </w:tcPr>
          <w:p>
            <w:pPr>
              <w:pStyle w:val="13"/>
              <w:spacing w:line="400" w:lineRule="exact"/>
              <w:jc w:val="center"/>
              <w:rPr>
                <w:rFonts w:hint="eastAsia" w:eastAsia="方正仿宋_GBK"/>
                <w:bCs/>
              </w:rPr>
            </w:pPr>
          </w:p>
        </w:tc>
        <w:tc>
          <w:tcPr>
            <w:tcW w:w="1079" w:type="dxa"/>
            <w:noWrap w:val="0"/>
            <w:vAlign w:val="top"/>
          </w:tcPr>
          <w:p>
            <w:pPr>
              <w:pStyle w:val="13"/>
              <w:spacing w:line="400" w:lineRule="exact"/>
              <w:jc w:val="center"/>
              <w:rPr>
                <w:rFonts w:hint="eastAsia" w:eastAsia="方正仿宋_GBK"/>
                <w:bCs/>
              </w:rPr>
            </w:pPr>
          </w:p>
        </w:tc>
        <w:tc>
          <w:tcPr>
            <w:tcW w:w="1193" w:type="dxa"/>
            <w:noWrap w:val="0"/>
            <w:vAlign w:val="top"/>
          </w:tcPr>
          <w:p>
            <w:pPr>
              <w:pStyle w:val="13"/>
              <w:spacing w:line="400" w:lineRule="exact"/>
              <w:jc w:val="center"/>
              <w:rPr>
                <w:rFonts w:hint="eastAsia" w:eastAsia="方正仿宋_GBK"/>
                <w:bCs/>
              </w:rPr>
            </w:pPr>
          </w:p>
        </w:tc>
        <w:tc>
          <w:tcPr>
            <w:tcW w:w="992" w:type="dxa"/>
            <w:noWrap w:val="0"/>
            <w:vAlign w:val="center"/>
          </w:tcPr>
          <w:p>
            <w:pPr>
              <w:pStyle w:val="13"/>
              <w:spacing w:line="400" w:lineRule="exact"/>
              <w:jc w:val="center"/>
              <w:rPr>
                <w:rFonts w:hint="eastAsia" w:eastAsia="方正仿宋_GBK"/>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921" w:type="dxa"/>
            <w:noWrap w:val="0"/>
            <w:vAlign w:val="center"/>
          </w:tcPr>
          <w:p>
            <w:pPr>
              <w:pStyle w:val="13"/>
              <w:spacing w:line="400" w:lineRule="exact"/>
              <w:jc w:val="center"/>
              <w:rPr>
                <w:rFonts w:hint="eastAsia" w:eastAsia="方正仿宋_GBK"/>
                <w:bCs/>
              </w:rPr>
            </w:pPr>
          </w:p>
        </w:tc>
        <w:tc>
          <w:tcPr>
            <w:tcW w:w="1752" w:type="dxa"/>
            <w:noWrap w:val="0"/>
            <w:vAlign w:val="center"/>
          </w:tcPr>
          <w:p>
            <w:pPr>
              <w:pStyle w:val="13"/>
              <w:spacing w:line="400" w:lineRule="exact"/>
              <w:jc w:val="center"/>
              <w:rPr>
                <w:rFonts w:hint="eastAsia" w:eastAsia="方正仿宋_GBK"/>
                <w:bCs/>
              </w:rPr>
            </w:pPr>
          </w:p>
        </w:tc>
        <w:tc>
          <w:tcPr>
            <w:tcW w:w="1197" w:type="dxa"/>
            <w:noWrap w:val="0"/>
            <w:vAlign w:val="center"/>
          </w:tcPr>
          <w:p>
            <w:pPr>
              <w:pStyle w:val="13"/>
              <w:spacing w:line="400" w:lineRule="exact"/>
              <w:jc w:val="center"/>
              <w:rPr>
                <w:rFonts w:hint="eastAsia" w:eastAsia="方正仿宋_GBK"/>
                <w:bCs/>
              </w:rPr>
            </w:pPr>
          </w:p>
        </w:tc>
        <w:tc>
          <w:tcPr>
            <w:tcW w:w="1726" w:type="dxa"/>
            <w:noWrap w:val="0"/>
            <w:vAlign w:val="center"/>
          </w:tcPr>
          <w:p>
            <w:pPr>
              <w:pStyle w:val="13"/>
              <w:spacing w:line="400" w:lineRule="exact"/>
              <w:jc w:val="center"/>
              <w:rPr>
                <w:rFonts w:hint="eastAsia" w:eastAsia="方正仿宋_GBK"/>
                <w:bCs/>
              </w:rPr>
            </w:pPr>
          </w:p>
        </w:tc>
        <w:tc>
          <w:tcPr>
            <w:tcW w:w="1533" w:type="dxa"/>
            <w:noWrap w:val="0"/>
            <w:vAlign w:val="center"/>
          </w:tcPr>
          <w:p>
            <w:pPr>
              <w:pStyle w:val="13"/>
              <w:spacing w:line="400" w:lineRule="exact"/>
              <w:jc w:val="center"/>
              <w:rPr>
                <w:rFonts w:hint="eastAsia" w:eastAsia="方正仿宋_GBK"/>
                <w:bCs/>
              </w:rPr>
            </w:pPr>
          </w:p>
        </w:tc>
        <w:tc>
          <w:tcPr>
            <w:tcW w:w="1417" w:type="dxa"/>
            <w:noWrap w:val="0"/>
            <w:vAlign w:val="center"/>
          </w:tcPr>
          <w:p>
            <w:pPr>
              <w:pStyle w:val="13"/>
              <w:spacing w:line="400" w:lineRule="exact"/>
              <w:jc w:val="center"/>
              <w:rPr>
                <w:rFonts w:hint="eastAsia" w:eastAsia="方正仿宋_GBK"/>
                <w:bCs/>
              </w:rPr>
            </w:pPr>
          </w:p>
        </w:tc>
        <w:tc>
          <w:tcPr>
            <w:tcW w:w="1444" w:type="dxa"/>
            <w:noWrap w:val="0"/>
            <w:vAlign w:val="center"/>
          </w:tcPr>
          <w:p>
            <w:pPr>
              <w:pStyle w:val="13"/>
              <w:spacing w:line="400" w:lineRule="exact"/>
              <w:jc w:val="center"/>
              <w:rPr>
                <w:rFonts w:hint="eastAsia" w:eastAsia="方正仿宋_GBK"/>
                <w:bCs/>
              </w:rPr>
            </w:pPr>
          </w:p>
        </w:tc>
        <w:tc>
          <w:tcPr>
            <w:tcW w:w="851" w:type="dxa"/>
            <w:noWrap w:val="0"/>
            <w:vAlign w:val="top"/>
          </w:tcPr>
          <w:p>
            <w:pPr>
              <w:pStyle w:val="13"/>
              <w:spacing w:line="400" w:lineRule="exact"/>
              <w:jc w:val="center"/>
              <w:rPr>
                <w:rFonts w:hint="eastAsia" w:eastAsia="方正仿宋_GBK"/>
                <w:bCs/>
              </w:rPr>
            </w:pPr>
          </w:p>
        </w:tc>
        <w:tc>
          <w:tcPr>
            <w:tcW w:w="1276" w:type="dxa"/>
            <w:noWrap w:val="0"/>
            <w:vAlign w:val="top"/>
          </w:tcPr>
          <w:p>
            <w:pPr>
              <w:pStyle w:val="13"/>
              <w:spacing w:line="400" w:lineRule="exact"/>
              <w:jc w:val="center"/>
              <w:rPr>
                <w:rFonts w:hint="eastAsia" w:eastAsia="方正仿宋_GBK"/>
                <w:bCs/>
              </w:rPr>
            </w:pPr>
          </w:p>
        </w:tc>
        <w:tc>
          <w:tcPr>
            <w:tcW w:w="1079" w:type="dxa"/>
            <w:noWrap w:val="0"/>
            <w:vAlign w:val="top"/>
          </w:tcPr>
          <w:p>
            <w:pPr>
              <w:pStyle w:val="13"/>
              <w:spacing w:line="400" w:lineRule="exact"/>
              <w:jc w:val="center"/>
              <w:rPr>
                <w:rFonts w:hint="eastAsia" w:eastAsia="方正仿宋_GBK"/>
                <w:bCs/>
              </w:rPr>
            </w:pPr>
          </w:p>
        </w:tc>
        <w:tc>
          <w:tcPr>
            <w:tcW w:w="1193" w:type="dxa"/>
            <w:noWrap w:val="0"/>
            <w:vAlign w:val="top"/>
          </w:tcPr>
          <w:p>
            <w:pPr>
              <w:pStyle w:val="13"/>
              <w:spacing w:line="400" w:lineRule="exact"/>
              <w:jc w:val="center"/>
              <w:rPr>
                <w:rFonts w:hint="eastAsia" w:eastAsia="方正仿宋_GBK"/>
                <w:bCs/>
              </w:rPr>
            </w:pPr>
          </w:p>
        </w:tc>
        <w:tc>
          <w:tcPr>
            <w:tcW w:w="992" w:type="dxa"/>
            <w:noWrap w:val="0"/>
            <w:vAlign w:val="center"/>
          </w:tcPr>
          <w:p>
            <w:pPr>
              <w:pStyle w:val="13"/>
              <w:spacing w:line="400" w:lineRule="exact"/>
              <w:jc w:val="center"/>
              <w:rPr>
                <w:rFonts w:hint="eastAsia" w:eastAsia="方正仿宋_GBK"/>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21" w:type="dxa"/>
            <w:noWrap w:val="0"/>
            <w:vAlign w:val="center"/>
          </w:tcPr>
          <w:p>
            <w:pPr>
              <w:pStyle w:val="13"/>
              <w:spacing w:line="400" w:lineRule="exact"/>
              <w:jc w:val="center"/>
              <w:rPr>
                <w:rFonts w:hint="eastAsia" w:eastAsia="方正仿宋_GBK"/>
                <w:bCs/>
              </w:rPr>
            </w:pPr>
          </w:p>
        </w:tc>
        <w:tc>
          <w:tcPr>
            <w:tcW w:w="1752" w:type="dxa"/>
            <w:noWrap w:val="0"/>
            <w:vAlign w:val="center"/>
          </w:tcPr>
          <w:p>
            <w:pPr>
              <w:pStyle w:val="13"/>
              <w:spacing w:line="400" w:lineRule="exact"/>
              <w:jc w:val="center"/>
              <w:rPr>
                <w:rFonts w:hint="eastAsia" w:eastAsia="方正仿宋_GBK"/>
                <w:bCs/>
              </w:rPr>
            </w:pPr>
          </w:p>
        </w:tc>
        <w:tc>
          <w:tcPr>
            <w:tcW w:w="1197" w:type="dxa"/>
            <w:noWrap w:val="0"/>
            <w:vAlign w:val="center"/>
          </w:tcPr>
          <w:p>
            <w:pPr>
              <w:pStyle w:val="13"/>
              <w:spacing w:line="400" w:lineRule="exact"/>
              <w:jc w:val="center"/>
              <w:rPr>
                <w:rFonts w:hint="eastAsia" w:eastAsia="方正仿宋_GBK"/>
                <w:bCs/>
              </w:rPr>
            </w:pPr>
          </w:p>
        </w:tc>
        <w:tc>
          <w:tcPr>
            <w:tcW w:w="1726" w:type="dxa"/>
            <w:noWrap w:val="0"/>
            <w:vAlign w:val="center"/>
          </w:tcPr>
          <w:p>
            <w:pPr>
              <w:pStyle w:val="13"/>
              <w:spacing w:line="400" w:lineRule="exact"/>
              <w:jc w:val="center"/>
              <w:rPr>
                <w:rFonts w:hint="eastAsia" w:eastAsia="方正仿宋_GBK"/>
                <w:bCs/>
              </w:rPr>
            </w:pPr>
          </w:p>
        </w:tc>
        <w:tc>
          <w:tcPr>
            <w:tcW w:w="1533" w:type="dxa"/>
            <w:noWrap w:val="0"/>
            <w:vAlign w:val="center"/>
          </w:tcPr>
          <w:p>
            <w:pPr>
              <w:pStyle w:val="13"/>
              <w:spacing w:line="400" w:lineRule="exact"/>
              <w:jc w:val="center"/>
              <w:rPr>
                <w:rFonts w:hint="eastAsia" w:eastAsia="方正仿宋_GBK"/>
                <w:bCs/>
              </w:rPr>
            </w:pPr>
          </w:p>
        </w:tc>
        <w:tc>
          <w:tcPr>
            <w:tcW w:w="1417" w:type="dxa"/>
            <w:noWrap w:val="0"/>
            <w:vAlign w:val="center"/>
          </w:tcPr>
          <w:p>
            <w:pPr>
              <w:pStyle w:val="13"/>
              <w:spacing w:line="400" w:lineRule="exact"/>
              <w:jc w:val="center"/>
              <w:rPr>
                <w:rFonts w:hint="eastAsia" w:eastAsia="方正仿宋_GBK"/>
                <w:bCs/>
              </w:rPr>
            </w:pPr>
          </w:p>
        </w:tc>
        <w:tc>
          <w:tcPr>
            <w:tcW w:w="1444" w:type="dxa"/>
            <w:noWrap w:val="0"/>
            <w:vAlign w:val="center"/>
          </w:tcPr>
          <w:p>
            <w:pPr>
              <w:pStyle w:val="13"/>
              <w:spacing w:line="400" w:lineRule="exact"/>
              <w:jc w:val="center"/>
              <w:rPr>
                <w:rFonts w:hint="eastAsia" w:eastAsia="方正仿宋_GBK"/>
                <w:bCs/>
              </w:rPr>
            </w:pPr>
          </w:p>
        </w:tc>
        <w:tc>
          <w:tcPr>
            <w:tcW w:w="851" w:type="dxa"/>
            <w:noWrap w:val="0"/>
            <w:vAlign w:val="top"/>
          </w:tcPr>
          <w:p>
            <w:pPr>
              <w:pStyle w:val="13"/>
              <w:spacing w:line="400" w:lineRule="exact"/>
              <w:jc w:val="center"/>
              <w:rPr>
                <w:rFonts w:hint="eastAsia" w:eastAsia="方正仿宋_GBK"/>
                <w:bCs/>
              </w:rPr>
            </w:pPr>
          </w:p>
        </w:tc>
        <w:tc>
          <w:tcPr>
            <w:tcW w:w="1276" w:type="dxa"/>
            <w:noWrap w:val="0"/>
            <w:vAlign w:val="top"/>
          </w:tcPr>
          <w:p>
            <w:pPr>
              <w:pStyle w:val="13"/>
              <w:spacing w:line="400" w:lineRule="exact"/>
              <w:jc w:val="center"/>
              <w:rPr>
                <w:rFonts w:hint="eastAsia" w:eastAsia="方正仿宋_GBK"/>
                <w:bCs/>
              </w:rPr>
            </w:pPr>
          </w:p>
        </w:tc>
        <w:tc>
          <w:tcPr>
            <w:tcW w:w="1079" w:type="dxa"/>
            <w:noWrap w:val="0"/>
            <w:vAlign w:val="top"/>
          </w:tcPr>
          <w:p>
            <w:pPr>
              <w:pStyle w:val="13"/>
              <w:spacing w:line="400" w:lineRule="exact"/>
              <w:jc w:val="center"/>
              <w:rPr>
                <w:rFonts w:hint="eastAsia" w:eastAsia="方正仿宋_GBK"/>
                <w:bCs/>
              </w:rPr>
            </w:pPr>
          </w:p>
        </w:tc>
        <w:tc>
          <w:tcPr>
            <w:tcW w:w="1193" w:type="dxa"/>
            <w:noWrap w:val="0"/>
            <w:vAlign w:val="top"/>
          </w:tcPr>
          <w:p>
            <w:pPr>
              <w:pStyle w:val="13"/>
              <w:spacing w:line="400" w:lineRule="exact"/>
              <w:jc w:val="center"/>
              <w:rPr>
                <w:rFonts w:hint="eastAsia" w:eastAsia="方正仿宋_GBK"/>
                <w:bCs/>
              </w:rPr>
            </w:pPr>
          </w:p>
        </w:tc>
        <w:tc>
          <w:tcPr>
            <w:tcW w:w="992" w:type="dxa"/>
            <w:noWrap w:val="0"/>
            <w:vAlign w:val="center"/>
          </w:tcPr>
          <w:p>
            <w:pPr>
              <w:pStyle w:val="13"/>
              <w:spacing w:line="400" w:lineRule="exact"/>
              <w:jc w:val="center"/>
              <w:rPr>
                <w:rFonts w:hint="eastAsia" w:eastAsia="方正仿宋_GBK"/>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21" w:type="dxa"/>
            <w:noWrap w:val="0"/>
            <w:vAlign w:val="center"/>
          </w:tcPr>
          <w:p>
            <w:pPr>
              <w:pStyle w:val="13"/>
              <w:spacing w:line="400" w:lineRule="exact"/>
              <w:jc w:val="center"/>
              <w:rPr>
                <w:rFonts w:hint="eastAsia" w:eastAsia="方正仿宋_GBK"/>
                <w:bCs/>
              </w:rPr>
            </w:pPr>
          </w:p>
        </w:tc>
        <w:tc>
          <w:tcPr>
            <w:tcW w:w="1752" w:type="dxa"/>
            <w:noWrap w:val="0"/>
            <w:vAlign w:val="center"/>
          </w:tcPr>
          <w:p>
            <w:pPr>
              <w:pStyle w:val="13"/>
              <w:spacing w:line="400" w:lineRule="exact"/>
              <w:jc w:val="center"/>
              <w:rPr>
                <w:rFonts w:hint="eastAsia" w:eastAsia="方正仿宋_GBK"/>
                <w:bCs/>
              </w:rPr>
            </w:pPr>
          </w:p>
        </w:tc>
        <w:tc>
          <w:tcPr>
            <w:tcW w:w="1197" w:type="dxa"/>
            <w:noWrap w:val="0"/>
            <w:vAlign w:val="center"/>
          </w:tcPr>
          <w:p>
            <w:pPr>
              <w:pStyle w:val="13"/>
              <w:spacing w:line="400" w:lineRule="exact"/>
              <w:jc w:val="center"/>
              <w:rPr>
                <w:rFonts w:hint="eastAsia" w:eastAsia="方正仿宋_GBK"/>
                <w:bCs/>
              </w:rPr>
            </w:pPr>
          </w:p>
        </w:tc>
        <w:tc>
          <w:tcPr>
            <w:tcW w:w="1726" w:type="dxa"/>
            <w:noWrap w:val="0"/>
            <w:vAlign w:val="center"/>
          </w:tcPr>
          <w:p>
            <w:pPr>
              <w:pStyle w:val="13"/>
              <w:spacing w:line="400" w:lineRule="exact"/>
              <w:jc w:val="center"/>
              <w:rPr>
                <w:rFonts w:hint="eastAsia" w:eastAsia="方正仿宋_GBK"/>
                <w:bCs/>
              </w:rPr>
            </w:pPr>
          </w:p>
        </w:tc>
        <w:tc>
          <w:tcPr>
            <w:tcW w:w="1533" w:type="dxa"/>
            <w:noWrap w:val="0"/>
            <w:vAlign w:val="center"/>
          </w:tcPr>
          <w:p>
            <w:pPr>
              <w:pStyle w:val="13"/>
              <w:spacing w:line="400" w:lineRule="exact"/>
              <w:jc w:val="center"/>
              <w:rPr>
                <w:rFonts w:hint="eastAsia" w:eastAsia="方正仿宋_GBK"/>
                <w:bCs/>
              </w:rPr>
            </w:pPr>
          </w:p>
        </w:tc>
        <w:tc>
          <w:tcPr>
            <w:tcW w:w="1417" w:type="dxa"/>
            <w:noWrap w:val="0"/>
            <w:vAlign w:val="center"/>
          </w:tcPr>
          <w:p>
            <w:pPr>
              <w:pStyle w:val="13"/>
              <w:spacing w:line="400" w:lineRule="exact"/>
              <w:jc w:val="center"/>
              <w:rPr>
                <w:rFonts w:hint="eastAsia" w:eastAsia="方正仿宋_GBK"/>
                <w:bCs/>
              </w:rPr>
            </w:pPr>
          </w:p>
        </w:tc>
        <w:tc>
          <w:tcPr>
            <w:tcW w:w="1444" w:type="dxa"/>
            <w:noWrap w:val="0"/>
            <w:vAlign w:val="center"/>
          </w:tcPr>
          <w:p>
            <w:pPr>
              <w:pStyle w:val="13"/>
              <w:spacing w:line="400" w:lineRule="exact"/>
              <w:jc w:val="center"/>
              <w:rPr>
                <w:rFonts w:hint="eastAsia" w:eastAsia="方正仿宋_GBK"/>
                <w:bCs/>
              </w:rPr>
            </w:pPr>
          </w:p>
        </w:tc>
        <w:tc>
          <w:tcPr>
            <w:tcW w:w="851" w:type="dxa"/>
            <w:noWrap w:val="0"/>
            <w:vAlign w:val="top"/>
          </w:tcPr>
          <w:p>
            <w:pPr>
              <w:pStyle w:val="13"/>
              <w:spacing w:line="400" w:lineRule="exact"/>
              <w:jc w:val="center"/>
              <w:rPr>
                <w:rFonts w:hint="eastAsia" w:eastAsia="方正仿宋_GBK"/>
                <w:bCs/>
              </w:rPr>
            </w:pPr>
          </w:p>
        </w:tc>
        <w:tc>
          <w:tcPr>
            <w:tcW w:w="1276" w:type="dxa"/>
            <w:noWrap w:val="0"/>
            <w:vAlign w:val="top"/>
          </w:tcPr>
          <w:p>
            <w:pPr>
              <w:pStyle w:val="13"/>
              <w:spacing w:line="400" w:lineRule="exact"/>
              <w:jc w:val="center"/>
              <w:rPr>
                <w:rFonts w:hint="eastAsia" w:eastAsia="方正仿宋_GBK"/>
                <w:bCs/>
              </w:rPr>
            </w:pPr>
          </w:p>
        </w:tc>
        <w:tc>
          <w:tcPr>
            <w:tcW w:w="1079" w:type="dxa"/>
            <w:noWrap w:val="0"/>
            <w:vAlign w:val="top"/>
          </w:tcPr>
          <w:p>
            <w:pPr>
              <w:pStyle w:val="13"/>
              <w:spacing w:line="400" w:lineRule="exact"/>
              <w:jc w:val="center"/>
              <w:rPr>
                <w:rFonts w:hint="eastAsia" w:eastAsia="方正仿宋_GBK"/>
                <w:bCs/>
              </w:rPr>
            </w:pPr>
          </w:p>
        </w:tc>
        <w:tc>
          <w:tcPr>
            <w:tcW w:w="1193" w:type="dxa"/>
            <w:noWrap w:val="0"/>
            <w:vAlign w:val="top"/>
          </w:tcPr>
          <w:p>
            <w:pPr>
              <w:pStyle w:val="13"/>
              <w:spacing w:line="400" w:lineRule="exact"/>
              <w:jc w:val="center"/>
              <w:rPr>
                <w:rFonts w:hint="eastAsia" w:eastAsia="方正仿宋_GBK"/>
                <w:bCs/>
              </w:rPr>
            </w:pPr>
          </w:p>
        </w:tc>
        <w:tc>
          <w:tcPr>
            <w:tcW w:w="992" w:type="dxa"/>
            <w:noWrap w:val="0"/>
            <w:vAlign w:val="center"/>
          </w:tcPr>
          <w:p>
            <w:pPr>
              <w:pStyle w:val="13"/>
              <w:spacing w:line="400" w:lineRule="exact"/>
              <w:jc w:val="center"/>
              <w:rPr>
                <w:rFonts w:hint="eastAsia" w:eastAsia="方正仿宋_GBK"/>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921" w:type="dxa"/>
            <w:noWrap w:val="0"/>
            <w:vAlign w:val="center"/>
          </w:tcPr>
          <w:p>
            <w:pPr>
              <w:pStyle w:val="13"/>
              <w:spacing w:line="400" w:lineRule="exact"/>
              <w:jc w:val="center"/>
              <w:rPr>
                <w:rFonts w:hint="eastAsia" w:eastAsia="方正仿宋_GBK"/>
                <w:bCs/>
              </w:rPr>
            </w:pPr>
          </w:p>
        </w:tc>
        <w:tc>
          <w:tcPr>
            <w:tcW w:w="1752" w:type="dxa"/>
            <w:noWrap w:val="0"/>
            <w:vAlign w:val="center"/>
          </w:tcPr>
          <w:p>
            <w:pPr>
              <w:pStyle w:val="13"/>
              <w:spacing w:line="400" w:lineRule="exact"/>
              <w:jc w:val="center"/>
              <w:rPr>
                <w:rFonts w:hint="eastAsia" w:eastAsia="方正仿宋_GBK"/>
                <w:bCs/>
              </w:rPr>
            </w:pPr>
          </w:p>
        </w:tc>
        <w:tc>
          <w:tcPr>
            <w:tcW w:w="1197" w:type="dxa"/>
            <w:noWrap w:val="0"/>
            <w:vAlign w:val="center"/>
          </w:tcPr>
          <w:p>
            <w:pPr>
              <w:pStyle w:val="13"/>
              <w:spacing w:line="400" w:lineRule="exact"/>
              <w:jc w:val="center"/>
              <w:rPr>
                <w:rFonts w:hint="eastAsia" w:eastAsia="方正仿宋_GBK"/>
                <w:bCs/>
              </w:rPr>
            </w:pPr>
          </w:p>
        </w:tc>
        <w:tc>
          <w:tcPr>
            <w:tcW w:w="1726" w:type="dxa"/>
            <w:noWrap w:val="0"/>
            <w:vAlign w:val="center"/>
          </w:tcPr>
          <w:p>
            <w:pPr>
              <w:pStyle w:val="13"/>
              <w:spacing w:line="400" w:lineRule="exact"/>
              <w:jc w:val="center"/>
              <w:rPr>
                <w:rFonts w:hint="eastAsia" w:eastAsia="方正仿宋_GBK"/>
                <w:bCs/>
              </w:rPr>
            </w:pPr>
          </w:p>
        </w:tc>
        <w:tc>
          <w:tcPr>
            <w:tcW w:w="1533" w:type="dxa"/>
            <w:noWrap w:val="0"/>
            <w:vAlign w:val="center"/>
          </w:tcPr>
          <w:p>
            <w:pPr>
              <w:pStyle w:val="13"/>
              <w:spacing w:line="400" w:lineRule="exact"/>
              <w:jc w:val="center"/>
              <w:rPr>
                <w:rFonts w:hint="eastAsia" w:eastAsia="方正仿宋_GBK"/>
                <w:bCs/>
              </w:rPr>
            </w:pPr>
          </w:p>
        </w:tc>
        <w:tc>
          <w:tcPr>
            <w:tcW w:w="1417" w:type="dxa"/>
            <w:noWrap w:val="0"/>
            <w:vAlign w:val="center"/>
          </w:tcPr>
          <w:p>
            <w:pPr>
              <w:pStyle w:val="13"/>
              <w:spacing w:line="400" w:lineRule="exact"/>
              <w:jc w:val="center"/>
              <w:rPr>
                <w:rFonts w:hint="eastAsia" w:eastAsia="方正仿宋_GBK"/>
                <w:bCs/>
              </w:rPr>
            </w:pPr>
          </w:p>
        </w:tc>
        <w:tc>
          <w:tcPr>
            <w:tcW w:w="1444" w:type="dxa"/>
            <w:noWrap w:val="0"/>
            <w:vAlign w:val="center"/>
          </w:tcPr>
          <w:p>
            <w:pPr>
              <w:pStyle w:val="13"/>
              <w:spacing w:line="400" w:lineRule="exact"/>
              <w:jc w:val="center"/>
              <w:rPr>
                <w:rFonts w:hint="eastAsia" w:eastAsia="方正仿宋_GBK"/>
                <w:bCs/>
              </w:rPr>
            </w:pPr>
          </w:p>
        </w:tc>
        <w:tc>
          <w:tcPr>
            <w:tcW w:w="851" w:type="dxa"/>
            <w:noWrap w:val="0"/>
            <w:vAlign w:val="top"/>
          </w:tcPr>
          <w:p>
            <w:pPr>
              <w:pStyle w:val="13"/>
              <w:spacing w:line="400" w:lineRule="exact"/>
              <w:jc w:val="center"/>
              <w:rPr>
                <w:rFonts w:hint="eastAsia" w:eastAsia="方正仿宋_GBK"/>
                <w:bCs/>
              </w:rPr>
            </w:pPr>
          </w:p>
        </w:tc>
        <w:tc>
          <w:tcPr>
            <w:tcW w:w="1276" w:type="dxa"/>
            <w:noWrap w:val="0"/>
            <w:vAlign w:val="top"/>
          </w:tcPr>
          <w:p>
            <w:pPr>
              <w:pStyle w:val="13"/>
              <w:spacing w:line="400" w:lineRule="exact"/>
              <w:jc w:val="center"/>
              <w:rPr>
                <w:rFonts w:hint="eastAsia" w:eastAsia="方正仿宋_GBK"/>
                <w:bCs/>
              </w:rPr>
            </w:pPr>
          </w:p>
        </w:tc>
        <w:tc>
          <w:tcPr>
            <w:tcW w:w="1079" w:type="dxa"/>
            <w:noWrap w:val="0"/>
            <w:vAlign w:val="top"/>
          </w:tcPr>
          <w:p>
            <w:pPr>
              <w:pStyle w:val="13"/>
              <w:spacing w:line="400" w:lineRule="exact"/>
              <w:jc w:val="center"/>
              <w:rPr>
                <w:rFonts w:hint="eastAsia" w:eastAsia="方正仿宋_GBK"/>
                <w:bCs/>
              </w:rPr>
            </w:pPr>
          </w:p>
        </w:tc>
        <w:tc>
          <w:tcPr>
            <w:tcW w:w="1193" w:type="dxa"/>
            <w:noWrap w:val="0"/>
            <w:vAlign w:val="top"/>
          </w:tcPr>
          <w:p>
            <w:pPr>
              <w:pStyle w:val="13"/>
              <w:spacing w:line="400" w:lineRule="exact"/>
              <w:jc w:val="center"/>
              <w:rPr>
                <w:rFonts w:hint="eastAsia" w:eastAsia="方正仿宋_GBK"/>
                <w:bCs/>
              </w:rPr>
            </w:pPr>
          </w:p>
        </w:tc>
        <w:tc>
          <w:tcPr>
            <w:tcW w:w="992" w:type="dxa"/>
            <w:noWrap w:val="0"/>
            <w:vAlign w:val="center"/>
          </w:tcPr>
          <w:p>
            <w:pPr>
              <w:pStyle w:val="13"/>
              <w:spacing w:line="400" w:lineRule="exact"/>
              <w:jc w:val="center"/>
              <w:rPr>
                <w:rFonts w:hint="eastAsia" w:eastAsia="方正仿宋_GBK"/>
                <w:bCs/>
              </w:rPr>
            </w:pPr>
          </w:p>
        </w:tc>
      </w:tr>
    </w:tbl>
    <w:p>
      <w:pPr>
        <w:adjustRightInd w:val="0"/>
        <w:snapToGrid w:val="0"/>
        <w:spacing w:line="240" w:lineRule="exact"/>
        <w:ind w:firstLine="292" w:firstLineChars="200"/>
        <w:rPr>
          <w:rFonts w:eastAsia="方正仿宋_GBK"/>
          <w:color w:val="FF0000"/>
        </w:rPr>
      </w:pPr>
      <w:r>
        <w:rPr>
          <w:rFonts w:hint="eastAsia" w:eastAsia="方正仿宋_GBK"/>
          <w:b/>
          <w:sz w:val="15"/>
          <w:szCs w:val="15"/>
        </w:rPr>
        <w:t>注</w:t>
      </w:r>
      <w:r>
        <w:rPr>
          <w:rFonts w:hint="eastAsia" w:eastAsia="方正仿宋_GBK"/>
          <w:sz w:val="15"/>
          <w:szCs w:val="15"/>
        </w:rPr>
        <w:t>：</w:t>
      </w:r>
      <w:r>
        <w:rPr>
          <w:rFonts w:hint="eastAsia" w:eastAsia="方正仿宋_GBK"/>
          <w:sz w:val="15"/>
          <w:szCs w:val="15"/>
          <w:lang w:eastAsia="zh-CN"/>
        </w:rPr>
        <w:t>“</w:t>
      </w:r>
      <w:r>
        <w:rPr>
          <w:rFonts w:hint="eastAsia" w:eastAsia="方正仿宋_GBK"/>
          <w:sz w:val="15"/>
          <w:szCs w:val="15"/>
        </w:rPr>
        <w:t>九小场所</w:t>
      </w:r>
      <w:r>
        <w:rPr>
          <w:rFonts w:hint="eastAsia" w:eastAsia="方正仿宋_GBK"/>
          <w:sz w:val="15"/>
          <w:szCs w:val="15"/>
          <w:lang w:eastAsia="zh-CN"/>
        </w:rPr>
        <w:t>”</w:t>
      </w:r>
      <w:r>
        <w:rPr>
          <w:rFonts w:hint="eastAsia" w:eastAsia="方正仿宋_GBK"/>
          <w:sz w:val="15"/>
          <w:szCs w:val="15"/>
        </w:rPr>
        <w:t>包括小商店、小市场、小餐饮、非寄宿制的学校（托儿所、幼儿园）、小生产加工企业、小易燃易爆单位、小汽车库停车场、小仓储场所、快递场所等场所；多业态混合生产经营场所包括集餐饮、住宿、娱乐、商业、仓储、文化、体育、培训等多业态多功能于一体的经营场所，分租、转租形成生产储存多种功能的劳动密集型企业等场所；人员密集场所包括老旧市场、宾馆饭店、公共娱乐场所、大型商业综合体、医院、寄宿制中小学、养老院、旅游场所、儿童福利院等场所。</w:t>
      </w:r>
    </w:p>
    <w:sectPr>
      <w:pgSz w:w="16838" w:h="11906" w:orient="landscape"/>
      <w:pgMar w:top="1984" w:right="1474" w:bottom="1871" w:left="1587"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3EFF3A-7B3F-4D71-AAEC-367C4B7BA3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224B4FA-D725-4FE2-9CEE-D37AEAC002DF}"/>
  </w:font>
  <w:font w:name="CIDFont+F2">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embedRegular r:id="rId3" w:fontKey="{20E2E905-D3C3-44A3-B675-385526B869AE}"/>
  </w:font>
  <w:font w:name="方正仿宋_GB2312">
    <w:panose1 w:val="02000000000000000000"/>
    <w:charset w:val="86"/>
    <w:family w:val="auto"/>
    <w:pitch w:val="default"/>
    <w:sig w:usb0="A00002BF" w:usb1="184F6CFA" w:usb2="00000012" w:usb3="00000000" w:csb0="00040001" w:csb1="00000000"/>
    <w:embedRegular r:id="rId4" w:fontKey="{E5682127-E9F8-49FC-BDE4-1C2C36E29D01}"/>
  </w:font>
  <w:font w:name="方正黑体_GBK">
    <w:panose1 w:val="03000509000000000000"/>
    <w:charset w:val="86"/>
    <w:family w:val="script"/>
    <w:pitch w:val="default"/>
    <w:sig w:usb0="00000001" w:usb1="080E0000" w:usb2="00000000" w:usb3="00000000" w:csb0="00040000" w:csb1="00000000"/>
    <w:embedRegular r:id="rId5" w:fontKey="{11C4CE34-7134-46A1-9D01-72C92CCE46FC}"/>
  </w:font>
  <w:font w:name="方正仿宋_GBK">
    <w:panose1 w:val="03000509000000000000"/>
    <w:charset w:val="86"/>
    <w:family w:val="script"/>
    <w:pitch w:val="default"/>
    <w:sig w:usb0="00000001" w:usb1="080E0000" w:usb2="00000000" w:usb3="00000000" w:csb0="00040000" w:csb1="00000000"/>
    <w:embedRegular r:id="rId6" w:fontKey="{F62F9560-5A7E-4017-BF0A-0E7D8EFC0A79}"/>
  </w:font>
  <w:font w:name="楷体">
    <w:panose1 w:val="02010609060101010101"/>
    <w:charset w:val="86"/>
    <w:family w:val="auto"/>
    <w:pitch w:val="default"/>
    <w:sig w:usb0="800002BF" w:usb1="38CF7CFA" w:usb2="00000016" w:usb3="00000000" w:csb0="00040001" w:csb1="00000000"/>
    <w:embedRegular r:id="rId7" w:fontKey="{BAC2FF5B-0E36-4FAE-B13E-E1A1DF0CCC88}"/>
  </w:font>
  <w:font w:name="___WRD_EMBED_SUB_44">
    <w:altName w:val="宋体"/>
    <w:panose1 w:val="00000000000000000000"/>
    <w:charset w:val="86"/>
    <w:family w:val="auto"/>
    <w:pitch w:val="default"/>
    <w:sig w:usb0="00000000" w:usb1="00000000" w:usb2="00000016" w:usb3="00000000" w:csb0="0004000F" w:csb1="00000000"/>
    <w:embedRegular r:id="rId8" w:fontKey="{04CB232E-29E8-4E1A-9F66-F5E1640D11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-182245</wp:posOffset>
              </wp:positionV>
              <wp:extent cx="1022350" cy="314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2350" cy="314325"/>
                      </a:xfrm>
                      <a:prstGeom prst="rect">
                        <a:avLst/>
                      </a:prstGeom>
                      <a:noFill/>
                      <a:ln>
                        <a:noFill/>
                      </a:ln>
                    </wps:spPr>
                    <wps:txbx>
                      <w:txbxContent>
                        <w:p>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4.35pt;height:24.75pt;width:80.5pt;mso-position-horizontal:center;mso-position-horizontal-relative:margin;z-index:251659264;mso-width-relative:page;mso-height-relative:page;" filled="f" stroked="f" coordsize="21600,21600" o:gfxdata="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jmr29UAAAAHAQAADwAAAAAAAAABACAAAAAiAAAAZHJzL2Rvd25yZXYueG1sUEsBAhQAFAAA&#10;AAgAh07iQDsJJyq5AQAAcgMAAA4AAAAAAAAAAQAgAAAAJAEAAGRycy9lMm9Eb2MueG1sUEsFBgAA&#10;AAAGAAYAWQEAAE8FAAAAAA==&#10;">
              <v:fill on="f" focussize="0,0"/>
              <v:stroke on="f"/>
              <v:imagedata o:title=""/>
              <o:lock v:ext="edit" aspectratio="f"/>
              <v:textbox inset="0mm,0mm,0mm,0mm">
                <w:txbxContent>
                  <w:p>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-455295</wp:posOffset>
              </wp:positionV>
              <wp:extent cx="817245" cy="58737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817245" cy="587375"/>
                      </a:xfrm>
                      <a:prstGeom prst="rect">
                        <a:avLst/>
                      </a:prstGeom>
                      <a:noFill/>
                      <a:ln>
                        <a:noFill/>
                      </a:ln>
                    </wps:spPr>
                    <wps:txbx>
                      <w:txbxContent>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lIns="0" tIns="0" rIns="0" bIns="0" upright="0"/>
                  </wps:wsp>
                </a:graphicData>
              </a:graphic>
            </wp:anchor>
          </w:drawing>
        </mc:Choice>
        <mc:Fallback>
          <w:pict>
            <v:shape id="文本框 10" o:spid="_x0000_s1026" o:spt="202" type="#_x0000_t202" style="position:absolute;left:0pt;margin-top:-35.85pt;height:46.25pt;width:64.35pt;mso-position-horizontal:center;mso-position-horizontal-relative:margin;z-index:251660288;mso-width-relative:page;mso-height-relative:page;" filled="f" stroked="f" coordsize="21600,21600" o:gfxdata="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smTY1gAAAAcBAAAPAAAAAAAAAAEAIAAAACIAAABkcnMvZG93bnJldi54bWxQSwECFAAU&#10;AAAACACHTuJAF12qNboBAAByAwAADgAAAAAAAAABACAAAAAlAQAAZHJzL2Uyb0RvYy54bWxQSwUG&#10;AAAAAAYABgBZAQAAUQUAAAAA&#10;">
              <v:fill on="f" focussize="0,0"/>
              <v:stroke on="f"/>
              <v:imagedata o:title=""/>
              <o:lock v:ext="edit" aspectratio="f"/>
              <v:textbox inset="0mm,0mm,0mm,0mm">
                <w:txbxContent>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OTI0YzlhODI0ZDY3N2M1MzdkMDQ0YWFhOTk0YjUifQ=="/>
  </w:docVars>
  <w:rsids>
    <w:rsidRoot w:val="00E36CF0"/>
    <w:rsid w:val="000000E4"/>
    <w:rsid w:val="000119E5"/>
    <w:rsid w:val="000143A1"/>
    <w:rsid w:val="00017A4C"/>
    <w:rsid w:val="000357C1"/>
    <w:rsid w:val="00041842"/>
    <w:rsid w:val="000440F6"/>
    <w:rsid w:val="00051436"/>
    <w:rsid w:val="00052CD2"/>
    <w:rsid w:val="00054D1C"/>
    <w:rsid w:val="000630FE"/>
    <w:rsid w:val="00071856"/>
    <w:rsid w:val="000D7470"/>
    <w:rsid w:val="000E5E35"/>
    <w:rsid w:val="000F6C98"/>
    <w:rsid w:val="00156AC5"/>
    <w:rsid w:val="0017775C"/>
    <w:rsid w:val="001A4029"/>
    <w:rsid w:val="001A4878"/>
    <w:rsid w:val="001B2960"/>
    <w:rsid w:val="001C6C70"/>
    <w:rsid w:val="001E0AA3"/>
    <w:rsid w:val="001F06F9"/>
    <w:rsid w:val="0020073E"/>
    <w:rsid w:val="00200F6C"/>
    <w:rsid w:val="002047A1"/>
    <w:rsid w:val="00212363"/>
    <w:rsid w:val="002208B0"/>
    <w:rsid w:val="0025667D"/>
    <w:rsid w:val="002633DF"/>
    <w:rsid w:val="00271204"/>
    <w:rsid w:val="00272D98"/>
    <w:rsid w:val="00283930"/>
    <w:rsid w:val="0029284A"/>
    <w:rsid w:val="002B65F5"/>
    <w:rsid w:val="002E3B61"/>
    <w:rsid w:val="00307BE4"/>
    <w:rsid w:val="00324B20"/>
    <w:rsid w:val="00326925"/>
    <w:rsid w:val="003457B1"/>
    <w:rsid w:val="0035202F"/>
    <w:rsid w:val="00375806"/>
    <w:rsid w:val="00377F51"/>
    <w:rsid w:val="003E1595"/>
    <w:rsid w:val="003F4897"/>
    <w:rsid w:val="00403850"/>
    <w:rsid w:val="00474399"/>
    <w:rsid w:val="004967E9"/>
    <w:rsid w:val="004A14C5"/>
    <w:rsid w:val="004A632D"/>
    <w:rsid w:val="004C1B58"/>
    <w:rsid w:val="004D3698"/>
    <w:rsid w:val="004E4E33"/>
    <w:rsid w:val="004F6BDA"/>
    <w:rsid w:val="00512D5B"/>
    <w:rsid w:val="00542AF3"/>
    <w:rsid w:val="005667B4"/>
    <w:rsid w:val="0058227A"/>
    <w:rsid w:val="005D0AC3"/>
    <w:rsid w:val="006161D2"/>
    <w:rsid w:val="00635E3D"/>
    <w:rsid w:val="00642754"/>
    <w:rsid w:val="006522C4"/>
    <w:rsid w:val="00655518"/>
    <w:rsid w:val="00677B54"/>
    <w:rsid w:val="00693F5C"/>
    <w:rsid w:val="006B1811"/>
    <w:rsid w:val="006B5AE4"/>
    <w:rsid w:val="006B7936"/>
    <w:rsid w:val="006C58E7"/>
    <w:rsid w:val="006F35DD"/>
    <w:rsid w:val="007152E3"/>
    <w:rsid w:val="0071547C"/>
    <w:rsid w:val="007253CA"/>
    <w:rsid w:val="00727F22"/>
    <w:rsid w:val="007448E7"/>
    <w:rsid w:val="0075199F"/>
    <w:rsid w:val="0076118F"/>
    <w:rsid w:val="00761DB1"/>
    <w:rsid w:val="007711F8"/>
    <w:rsid w:val="0077300A"/>
    <w:rsid w:val="007807E3"/>
    <w:rsid w:val="007869FE"/>
    <w:rsid w:val="00786A62"/>
    <w:rsid w:val="007B52AA"/>
    <w:rsid w:val="007E47ED"/>
    <w:rsid w:val="007F2E08"/>
    <w:rsid w:val="00800157"/>
    <w:rsid w:val="00810ABD"/>
    <w:rsid w:val="00824863"/>
    <w:rsid w:val="0083775E"/>
    <w:rsid w:val="00872B4B"/>
    <w:rsid w:val="0088040C"/>
    <w:rsid w:val="008B502D"/>
    <w:rsid w:val="008B6EB6"/>
    <w:rsid w:val="008E462D"/>
    <w:rsid w:val="0090164E"/>
    <w:rsid w:val="009243C1"/>
    <w:rsid w:val="0096255A"/>
    <w:rsid w:val="009802CF"/>
    <w:rsid w:val="00997194"/>
    <w:rsid w:val="009F0BA2"/>
    <w:rsid w:val="00A06C4D"/>
    <w:rsid w:val="00A312B1"/>
    <w:rsid w:val="00A451FF"/>
    <w:rsid w:val="00A55259"/>
    <w:rsid w:val="00AA6BBB"/>
    <w:rsid w:val="00AB7543"/>
    <w:rsid w:val="00AF586D"/>
    <w:rsid w:val="00B0249E"/>
    <w:rsid w:val="00B07786"/>
    <w:rsid w:val="00B13B5D"/>
    <w:rsid w:val="00B230EB"/>
    <w:rsid w:val="00B549B2"/>
    <w:rsid w:val="00BD0EEB"/>
    <w:rsid w:val="00BD15C8"/>
    <w:rsid w:val="00C008D5"/>
    <w:rsid w:val="00C03BC1"/>
    <w:rsid w:val="00C1392A"/>
    <w:rsid w:val="00C152C9"/>
    <w:rsid w:val="00C24754"/>
    <w:rsid w:val="00C36264"/>
    <w:rsid w:val="00C46731"/>
    <w:rsid w:val="00CD7718"/>
    <w:rsid w:val="00CF1B03"/>
    <w:rsid w:val="00CF29DD"/>
    <w:rsid w:val="00D018E9"/>
    <w:rsid w:val="00D17738"/>
    <w:rsid w:val="00D374E1"/>
    <w:rsid w:val="00D41966"/>
    <w:rsid w:val="00D4355D"/>
    <w:rsid w:val="00D90000"/>
    <w:rsid w:val="00D957EE"/>
    <w:rsid w:val="00DB3183"/>
    <w:rsid w:val="00DD6640"/>
    <w:rsid w:val="00DE5A41"/>
    <w:rsid w:val="00DF2945"/>
    <w:rsid w:val="00E1380C"/>
    <w:rsid w:val="00E14772"/>
    <w:rsid w:val="00E34F93"/>
    <w:rsid w:val="00E36CF0"/>
    <w:rsid w:val="00E47182"/>
    <w:rsid w:val="00E47982"/>
    <w:rsid w:val="00EF2662"/>
    <w:rsid w:val="00EF308D"/>
    <w:rsid w:val="00F00414"/>
    <w:rsid w:val="00F13475"/>
    <w:rsid w:val="00F215BF"/>
    <w:rsid w:val="00F23558"/>
    <w:rsid w:val="00F258DA"/>
    <w:rsid w:val="00F47B5E"/>
    <w:rsid w:val="00F57FB3"/>
    <w:rsid w:val="00F665FB"/>
    <w:rsid w:val="00F80A25"/>
    <w:rsid w:val="00F819F9"/>
    <w:rsid w:val="00FA1B81"/>
    <w:rsid w:val="00FC3C76"/>
    <w:rsid w:val="00FC66FE"/>
    <w:rsid w:val="024D5F98"/>
    <w:rsid w:val="051674FD"/>
    <w:rsid w:val="073C7668"/>
    <w:rsid w:val="0AA01D98"/>
    <w:rsid w:val="0FE043E9"/>
    <w:rsid w:val="10B4022F"/>
    <w:rsid w:val="135E5945"/>
    <w:rsid w:val="235A72C9"/>
    <w:rsid w:val="24A336DB"/>
    <w:rsid w:val="34126ED7"/>
    <w:rsid w:val="366D0BAA"/>
    <w:rsid w:val="37682FD3"/>
    <w:rsid w:val="38D5229D"/>
    <w:rsid w:val="3DD2747B"/>
    <w:rsid w:val="41176FAA"/>
    <w:rsid w:val="4A8F0E29"/>
    <w:rsid w:val="52724B2C"/>
    <w:rsid w:val="5E5019FA"/>
    <w:rsid w:val="5E9F49EB"/>
    <w:rsid w:val="5F2C5748"/>
    <w:rsid w:val="60497ED7"/>
    <w:rsid w:val="6E1700FE"/>
    <w:rsid w:val="6EBF7C57"/>
    <w:rsid w:val="71787FD9"/>
    <w:rsid w:val="72A74679"/>
    <w:rsid w:val="73E536E4"/>
    <w:rsid w:val="74B434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tabs>
        <w:tab w:val="left" w:pos="3476"/>
      </w:tabs>
      <w:spacing w:before="240" w:line="420" w:lineRule="exact"/>
    </w:pPr>
    <w:rPr>
      <w:rFonts w:ascii="宋体" w:hAnsi="宋体" w:eastAsia="宋体"/>
      <w:sz w:val="28"/>
      <w:szCs w:val="44"/>
    </w:rPr>
  </w:style>
  <w:style w:type="paragraph" w:styleId="3">
    <w:name w:val="Block Text"/>
    <w:basedOn w:val="1"/>
    <w:autoRedefine/>
    <w:qFormat/>
    <w:uiPriority w:val="0"/>
    <w:pPr>
      <w:ind w:left="1295" w:leftChars="100" w:right="316" w:rightChars="100" w:hanging="979" w:hangingChars="500"/>
    </w:pPr>
    <w:rPr>
      <w:rFonts w:ascii="仿宋_GB2312"/>
      <w:szCs w:val="24"/>
    </w:rPr>
  </w:style>
  <w:style w:type="paragraph" w:styleId="4">
    <w:name w:val="Date"/>
    <w:basedOn w:val="1"/>
    <w:next w:val="1"/>
    <w:autoRedefine/>
    <w:qFormat/>
    <w:uiPriority w:val="0"/>
    <w:pPr>
      <w:ind w:left="100" w:leftChars="2500"/>
    </w:pPr>
    <w:rPr>
      <w:rFonts w:ascii="宋体" w:hAnsi="宋体" w:eastAsia="宋体"/>
      <w:szCs w:val="44"/>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fontstyle01"/>
    <w:autoRedefine/>
    <w:qFormat/>
    <w:uiPriority w:val="99"/>
    <w:rPr>
      <w:rFonts w:ascii="CIDFont+F2" w:hAnsi="CIDFont+F2" w:cs="Times New Roman"/>
      <w:color w:val="000000"/>
      <w:sz w:val="16"/>
      <w:szCs w:val="16"/>
    </w:rPr>
  </w:style>
  <w:style w:type="character" w:customStyle="1" w:styleId="12">
    <w:name w:val="页脚 Char"/>
    <w:link w:val="5"/>
    <w:autoRedefine/>
    <w:qFormat/>
    <w:uiPriority w:val="99"/>
    <w:rPr>
      <w:rFonts w:eastAsia="仿宋_GB2312"/>
      <w:kern w:val="2"/>
      <w:sz w:val="18"/>
      <w:szCs w:val="18"/>
    </w:rPr>
  </w:style>
  <w:style w:type="paragraph" w:customStyle="1" w:styleId="13">
    <w:name w:val="Default"/>
    <w:autoRedefine/>
    <w:unhideWhenUsed/>
    <w:qFormat/>
    <w:uiPriority w:val="0"/>
    <w:pPr>
      <w:widowControl w:val="0"/>
      <w:autoSpaceDE w:val="0"/>
      <w:autoSpaceDN w:val="0"/>
      <w:adjustRightInd w:val="0"/>
    </w:pPr>
    <w:rPr>
      <w:rFonts w:ascii="Times New Roman" w:hAnsi="Times New Roman" w:eastAsia="仿宋_GB2312" w:cs="Times New Roman"/>
      <w:color w:val="000000"/>
      <w:sz w:val="24"/>
      <w:szCs w:val="24"/>
      <w:lang w:val="en-US" w:eastAsia="zh-CN" w:bidi="ar-SA"/>
    </w:rPr>
  </w:style>
  <w:style w:type="paragraph" w:customStyle="1" w:styleId="14">
    <w:name w:val="Char"/>
    <w:basedOn w:val="1"/>
    <w:autoRedefine/>
    <w:qFormat/>
    <w:uiPriority w:val="0"/>
    <w:pPr>
      <w:spacing w:before="100" w:beforeAutospacing="1" w:after="100" w:afterAutospacing="1"/>
    </w:pPr>
    <w:rPr>
      <w:rFonts w:eastAsia="宋体"/>
      <w:b/>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2436</Words>
  <Characters>13889</Characters>
  <Lines>115</Lines>
  <Paragraphs>32</Paragraphs>
  <TotalTime>6</TotalTime>
  <ScaleCrop>false</ScaleCrop>
  <LinksUpToDate>false</LinksUpToDate>
  <CharactersWithSpaces>16293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2013-05-02T08:42:00Z</dcterms:created>
  <dc:creator>03</dc:creator>
  <cp:lastModifiedBy>贝店琪琪</cp:lastModifiedBy>
  <cp:lastPrinted>2024-02-07T04:00:00Z</cp:lastPrinted>
  <dcterms:modified xsi:type="dcterms:W3CDTF">2024-02-07T04:16:08Z</dcterms:modified>
  <dc:title>秘　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D6814036890447C69CCB8E2A75ABC969_13</vt:lpwstr>
  </property>
</Properties>
</file>