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483407">
      <w:pPr>
        <w:spacing w:line="360" w:lineRule="auto"/>
        <w:outlineLvl w:val="1"/>
        <w:rPr>
          <w:rFonts w:hint="default" w:ascii="Times New Roman" w:hAnsi="Times New Roman" w:eastAsia="黑体" w:cs="Times New Roman"/>
          <w:sz w:val="32"/>
          <w:szCs w:val="32"/>
        </w:rPr>
      </w:pPr>
      <w:bookmarkStart w:id="0" w:name="_GoBack"/>
      <w:bookmarkEnd w:id="0"/>
      <w:r>
        <w:rPr>
          <w:rFonts w:hint="default" w:ascii="Times New Roman" w:hAnsi="Times New Roman" w:eastAsia="黑体" w:cs="Times New Roman"/>
          <w:sz w:val="32"/>
          <w:szCs w:val="32"/>
        </w:rPr>
        <w:t>附件</w:t>
      </w:r>
    </w:p>
    <w:p w14:paraId="5394F92F">
      <w:pPr>
        <w:spacing w:line="360" w:lineRule="auto"/>
        <w:outlineLvl w:val="1"/>
        <w:rPr>
          <w:rFonts w:hint="default" w:ascii="Times New Roman" w:hAnsi="Times New Roman" w:eastAsia="黑体" w:cs="Times New Roman"/>
          <w:sz w:val="32"/>
          <w:szCs w:val="32"/>
        </w:rPr>
      </w:pPr>
    </w:p>
    <w:p w14:paraId="087D182C">
      <w:pPr>
        <w:pStyle w:val="2"/>
        <w:autoSpaceDE w:val="0"/>
        <w:spacing w:before="156" w:beforeLines="50" w:line="600" w:lineRule="exact"/>
        <w:jc w:val="center"/>
        <w:rPr>
          <w:rFonts w:hint="default" w:ascii="Times New Roman" w:hAnsi="Times New Roman" w:eastAsia="方正小标宋_GBK" w:cs="Times New Roman"/>
          <w:b w:val="0"/>
        </w:rPr>
      </w:pPr>
      <w:r>
        <w:rPr>
          <w:rFonts w:hint="default" w:ascii="Times New Roman" w:hAnsi="Times New Roman" w:eastAsia="方正小标宋_GBK" w:cs="Times New Roman"/>
          <w:b w:val="0"/>
        </w:rPr>
        <w:t>赣榆区</w:t>
      </w:r>
      <w:r>
        <w:rPr>
          <w:rFonts w:hint="eastAsia" w:eastAsia="方正小标宋_GBK" w:cs="Times New Roman"/>
          <w:b w:val="0"/>
          <w:lang w:eastAsia="zh-CN"/>
        </w:rPr>
        <w:t>2025-04</w:t>
      </w:r>
      <w:r>
        <w:rPr>
          <w:rFonts w:hint="default" w:ascii="Times New Roman" w:hAnsi="Times New Roman" w:eastAsia="方正小标宋_GBK" w:cs="Times New Roman"/>
          <w:b w:val="0"/>
        </w:rPr>
        <w:t>号土地征收成片开发方案（征求意见稿）</w:t>
      </w:r>
    </w:p>
    <w:p w14:paraId="19D0FAED">
      <w:pPr>
        <w:rPr>
          <w:rFonts w:hint="default" w:ascii="Times New Roman" w:hAnsi="Times New Roman" w:cs="Times New Roman"/>
        </w:rPr>
      </w:pPr>
    </w:p>
    <w:p w14:paraId="3F56EA02">
      <w:pPr>
        <w:spacing w:line="360" w:lineRule="auto"/>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一、编制依据</w:t>
      </w:r>
    </w:p>
    <w:p w14:paraId="78F7C88D">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《中华人民共和国土地管理法》；</w:t>
      </w:r>
    </w:p>
    <w:p w14:paraId="079260DC">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《自然资源部关于印发&lt;土地征收成片开发标准&gt;的通知》（自然资规〔2023〕7号）；</w:t>
      </w:r>
    </w:p>
    <w:p w14:paraId="68AEB56A">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《江苏省自然资源厅关于开展土地征收成片开发方案编制工作的通知》（苏自然资函〔2021〕15号）；</w:t>
      </w:r>
    </w:p>
    <w:p w14:paraId="4EC547CE">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napToGrid/>
          <w:kern w:val="2"/>
          <w:sz w:val="32"/>
          <w:szCs w:val="32"/>
          <w:lang w:val="en-US" w:eastAsia="zh-CN" w:bidi="ar-SA"/>
        </w:rPr>
        <w:t>《江苏省自然资源厅关于深入推进土地征收成片开发方案编制工作的通知》（苏自然资函〔2024〕939号）</w:t>
      </w:r>
      <w:r>
        <w:rPr>
          <w:rFonts w:hint="default" w:ascii="Times New Roman" w:hAnsi="Times New Roman" w:eastAsia="仿宋_GB2312" w:cs="Times New Roman"/>
          <w:sz w:val="32"/>
          <w:szCs w:val="32"/>
        </w:rPr>
        <w:t>；</w:t>
      </w:r>
    </w:p>
    <w:p w14:paraId="7DC4217E">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napToGrid/>
          <w:kern w:val="2"/>
          <w:sz w:val="32"/>
          <w:szCs w:val="32"/>
          <w:lang w:val="en-US" w:eastAsia="zh-CN" w:bidi="ar-SA"/>
        </w:rPr>
        <w:t>《市政府关于重新公布连云港市征地区片综合地价执行标准的通知》（连政规发〔2024〕3号）</w:t>
      </w:r>
      <w:r>
        <w:rPr>
          <w:rFonts w:hint="default" w:ascii="Times New Roman" w:hAnsi="Times New Roman" w:eastAsia="仿宋_GB2312" w:cs="Times New Roman"/>
          <w:sz w:val="32"/>
          <w:szCs w:val="32"/>
        </w:rPr>
        <w:t>；</w:t>
      </w:r>
    </w:p>
    <w:p w14:paraId="14C92125">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z w:val="32"/>
          <w:szCs w:val="32"/>
        </w:rPr>
        <w:t>6</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napToGrid/>
          <w:kern w:val="2"/>
          <w:sz w:val="32"/>
          <w:szCs w:val="32"/>
          <w:lang w:val="en-US" w:eastAsia="zh-CN" w:bidi="ar-SA"/>
        </w:rPr>
        <w:t>《江苏省被征地农民社会保障办法》（苏政发〔2021〕87号）</w:t>
      </w:r>
      <w:r>
        <w:rPr>
          <w:rFonts w:hint="eastAsia" w:ascii="Times New Roman" w:hAnsi="Times New Roman" w:eastAsia="仿宋_GB2312" w:cs="Times New Roman"/>
          <w:snapToGrid/>
          <w:kern w:val="2"/>
          <w:sz w:val="32"/>
          <w:szCs w:val="32"/>
          <w:lang w:val="en-US" w:eastAsia="zh-CN" w:bidi="ar-SA"/>
        </w:rPr>
        <w:t>；</w:t>
      </w:r>
    </w:p>
    <w:p w14:paraId="0A63C254">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eastAsia" w:ascii="Times New Roman" w:hAnsi="Times New Roman" w:eastAsia="仿宋_GB2312" w:cs="Times New Roman"/>
          <w:snapToGrid/>
          <w:kern w:val="2"/>
          <w:sz w:val="32"/>
          <w:szCs w:val="32"/>
          <w:lang w:val="en-US" w:eastAsia="zh-CN" w:bidi="ar-SA"/>
        </w:rPr>
        <w:t>7、</w:t>
      </w:r>
      <w:r>
        <w:rPr>
          <w:rFonts w:hint="default" w:ascii="Times New Roman" w:hAnsi="Times New Roman" w:eastAsia="仿宋_GB2312" w:cs="Times New Roman"/>
          <w:snapToGrid/>
          <w:kern w:val="2"/>
          <w:sz w:val="32"/>
          <w:szCs w:val="32"/>
          <w:lang w:val="en-US" w:eastAsia="zh-CN" w:bidi="ar-SA"/>
        </w:rPr>
        <w:t>《连云港市被征地农民社会保障实施办法》（连政规发〔2022〕6号）</w:t>
      </w:r>
      <w:r>
        <w:rPr>
          <w:rFonts w:hint="eastAsia" w:ascii="Times New Roman" w:hAnsi="Times New Roman" w:eastAsia="仿宋_GB2312" w:cs="Times New Roman"/>
          <w:snapToGrid/>
          <w:kern w:val="2"/>
          <w:sz w:val="32"/>
          <w:szCs w:val="32"/>
          <w:lang w:val="en-US" w:eastAsia="zh-CN" w:bidi="ar-SA"/>
        </w:rPr>
        <w:t>；</w:t>
      </w:r>
    </w:p>
    <w:p w14:paraId="0013EA73">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eastAsia" w:ascii="Times New Roman" w:hAnsi="Times New Roman" w:eastAsia="仿宋_GB2312" w:cs="Times New Roman"/>
          <w:sz w:val="32"/>
          <w:szCs w:val="32"/>
          <w:lang w:val="en-US" w:eastAsia="zh-CN"/>
        </w:rPr>
        <w:t>8、</w:t>
      </w:r>
      <w:r>
        <w:rPr>
          <w:rFonts w:hint="default" w:ascii="Times New Roman" w:hAnsi="Times New Roman" w:eastAsia="仿宋_GB2312" w:cs="Times New Roman"/>
          <w:sz w:val="32"/>
          <w:szCs w:val="32"/>
        </w:rPr>
        <w:t>赣榆区</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三区三线</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划定成果、最新</w:t>
      </w:r>
      <w:r>
        <w:rPr>
          <w:rFonts w:hint="eastAsia" w:ascii="Times New Roman" w:hAnsi="Times New Roman" w:eastAsia="仿宋_GB2312" w:cs="Times New Roman"/>
          <w:sz w:val="32"/>
          <w:szCs w:val="32"/>
          <w:lang w:val="en-US" w:eastAsia="zh-CN"/>
        </w:rPr>
        <w:t>国土</w:t>
      </w:r>
      <w:r>
        <w:rPr>
          <w:rFonts w:hint="default" w:ascii="Times New Roman" w:hAnsi="Times New Roman" w:eastAsia="仿宋_GB2312" w:cs="Times New Roman"/>
          <w:sz w:val="32"/>
          <w:szCs w:val="32"/>
        </w:rPr>
        <w:t>变更调查成果等资料；</w:t>
      </w:r>
    </w:p>
    <w:p w14:paraId="1668A9CA">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z w:val="32"/>
          <w:szCs w:val="32"/>
        </w:rPr>
      </w:pPr>
      <w:r>
        <w:rPr>
          <w:rFonts w:hint="eastAsia" w:ascii="Times New Roman" w:hAnsi="Times New Roman" w:eastAsia="仿宋_GB2312" w:cs="Times New Roman"/>
          <w:sz w:val="32"/>
          <w:szCs w:val="32"/>
          <w:lang w:val="en-US" w:eastAsia="zh-CN"/>
        </w:rPr>
        <w:t>9</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成片开发拟建设项目的相关资料及其他资料。</w:t>
      </w:r>
    </w:p>
    <w:p w14:paraId="0AB3B457">
      <w:pPr>
        <w:spacing w:line="360" w:lineRule="auto"/>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二、基本情况</w:t>
      </w:r>
    </w:p>
    <w:p w14:paraId="0D66EC3D">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本方案包含</w:t>
      </w:r>
      <w:r>
        <w:rPr>
          <w:rFonts w:hint="eastAsia" w:ascii="Times New Roman" w:hAnsi="Times New Roman" w:eastAsia="仿宋_GB2312" w:cs="Times New Roman"/>
          <w:snapToGrid/>
          <w:kern w:val="2"/>
          <w:sz w:val="32"/>
          <w:szCs w:val="32"/>
          <w:lang w:val="en-US" w:eastAsia="zh-CN" w:bidi="ar-SA"/>
        </w:rPr>
        <w:t>1</w:t>
      </w:r>
      <w:r>
        <w:rPr>
          <w:rFonts w:hint="default" w:ascii="Times New Roman" w:hAnsi="Times New Roman" w:eastAsia="仿宋_GB2312" w:cs="Times New Roman"/>
          <w:snapToGrid/>
          <w:kern w:val="2"/>
          <w:sz w:val="32"/>
          <w:szCs w:val="32"/>
          <w:lang w:val="en-US" w:eastAsia="zh-CN" w:bidi="ar-SA"/>
        </w:rPr>
        <w:t>个片区，位于</w:t>
      </w:r>
      <w:r>
        <w:rPr>
          <w:rFonts w:hint="eastAsia" w:ascii="Times New Roman" w:hAnsi="Times New Roman" w:eastAsia="仿宋_GB2312" w:cs="Times New Roman"/>
          <w:snapToGrid/>
          <w:kern w:val="2"/>
          <w:sz w:val="32"/>
          <w:szCs w:val="32"/>
          <w:lang w:val="en-US" w:eastAsia="zh-CN" w:bidi="ar-SA"/>
        </w:rPr>
        <w:t>石桥</w:t>
      </w:r>
      <w:r>
        <w:rPr>
          <w:rFonts w:hint="default" w:ascii="Times New Roman" w:hAnsi="Times New Roman" w:eastAsia="仿宋_GB2312" w:cs="Times New Roman"/>
          <w:snapToGrid/>
          <w:kern w:val="2"/>
          <w:sz w:val="32"/>
          <w:szCs w:val="32"/>
          <w:lang w:val="en-US" w:eastAsia="zh-CN" w:bidi="ar-SA"/>
        </w:rPr>
        <w:t>镇，片区范围总面积为10.646</w:t>
      </w:r>
      <w:r>
        <w:rPr>
          <w:rFonts w:hint="eastAsia" w:ascii="Times New Roman" w:hAnsi="Times New Roman" w:eastAsia="仿宋_GB2312" w:cs="Times New Roman"/>
          <w:snapToGrid/>
          <w:kern w:val="2"/>
          <w:sz w:val="32"/>
          <w:szCs w:val="32"/>
          <w:lang w:val="en-US" w:eastAsia="zh-CN" w:bidi="ar-SA"/>
        </w:rPr>
        <w:t>2</w:t>
      </w:r>
      <w:r>
        <w:rPr>
          <w:rFonts w:hint="default" w:ascii="Times New Roman" w:hAnsi="Times New Roman" w:eastAsia="仿宋_GB2312" w:cs="Times New Roman"/>
          <w:snapToGrid/>
          <w:kern w:val="2"/>
          <w:sz w:val="32"/>
          <w:szCs w:val="32"/>
          <w:lang w:val="en-US" w:eastAsia="zh-CN" w:bidi="ar-SA"/>
        </w:rPr>
        <w:t>公顷（成片开发范围以最终批复为准）。具体用地情况详见表1。</w:t>
      </w:r>
    </w:p>
    <w:p w14:paraId="05637FB1">
      <w:pPr>
        <w:spacing w:line="540" w:lineRule="exact"/>
        <w:jc w:val="center"/>
        <w:rPr>
          <w:rFonts w:hint="default" w:ascii="Times New Roman" w:hAnsi="Times New Roman" w:eastAsia="仿宋_GB2312" w:cs="Times New Roman"/>
          <w:sz w:val="30"/>
          <w:szCs w:val="30"/>
        </w:rPr>
      </w:pPr>
      <w:r>
        <w:rPr>
          <w:rFonts w:hint="default" w:ascii="Times New Roman" w:hAnsi="Times New Roman" w:eastAsia="仿宋_GB2312" w:cs="Times New Roman"/>
          <w:sz w:val="30"/>
          <w:szCs w:val="30"/>
        </w:rPr>
        <w:t>表1 赣榆区土地征收成片开发片区规模统计表</w:t>
      </w:r>
    </w:p>
    <w:p w14:paraId="6AD26996">
      <w:pPr>
        <w:autoSpaceDE w:val="0"/>
        <w:spacing w:line="540" w:lineRule="exact"/>
        <w:ind w:firstLine="480" w:firstLineChars="200"/>
        <w:jc w:val="right"/>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单位：公顷</w:t>
      </w:r>
    </w:p>
    <w:tbl>
      <w:tblPr>
        <w:tblStyle w:val="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2"/>
        <w:gridCol w:w="2249"/>
        <w:gridCol w:w="2338"/>
      </w:tblGrid>
      <w:tr w14:paraId="243C8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0" w:hRule="atLeast"/>
          <w:tblHeader/>
          <w:jc w:val="center"/>
        </w:trPr>
        <w:tc>
          <w:tcPr>
            <w:tcW w:w="2307" w:type="pct"/>
            <w:noWrap/>
          </w:tcPr>
          <w:p w14:paraId="667C733A">
            <w:pPr>
              <w:autoSpaceDE w:val="0"/>
              <w:spacing w:line="540" w:lineRule="exact"/>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片区名称</w:t>
            </w:r>
          </w:p>
        </w:tc>
        <w:tc>
          <w:tcPr>
            <w:tcW w:w="1319" w:type="pct"/>
            <w:tcBorders>
              <w:bottom w:val="single" w:color="auto" w:sz="4" w:space="0"/>
            </w:tcBorders>
            <w:noWrap/>
          </w:tcPr>
          <w:p w14:paraId="1CCE991F">
            <w:pPr>
              <w:autoSpaceDE w:val="0"/>
              <w:spacing w:line="540" w:lineRule="exact"/>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所在乡镇</w:t>
            </w:r>
          </w:p>
        </w:tc>
        <w:tc>
          <w:tcPr>
            <w:tcW w:w="1372" w:type="pct"/>
            <w:tcBorders>
              <w:bottom w:val="single" w:color="auto" w:sz="4" w:space="0"/>
            </w:tcBorders>
            <w:noWrap/>
          </w:tcPr>
          <w:p w14:paraId="16BF3104">
            <w:pPr>
              <w:autoSpaceDE w:val="0"/>
              <w:spacing w:line="540" w:lineRule="exact"/>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土地总面积</w:t>
            </w:r>
          </w:p>
        </w:tc>
      </w:tr>
      <w:tr w14:paraId="35C41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307" w:type="pct"/>
            <w:noWrap/>
            <w:vAlign w:val="center"/>
          </w:tcPr>
          <w:p w14:paraId="7E9A4616">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石桥镇食品产业集聚区片区</w:t>
            </w:r>
          </w:p>
        </w:tc>
        <w:tc>
          <w:tcPr>
            <w:tcW w:w="1319" w:type="pct"/>
            <w:tcBorders>
              <w:top w:val="single" w:color="auto" w:sz="4" w:space="0"/>
              <w:left w:val="nil"/>
              <w:bottom w:val="single" w:color="auto" w:sz="4" w:space="0"/>
              <w:right w:val="single" w:color="auto" w:sz="4" w:space="0"/>
            </w:tcBorders>
            <w:shd w:val="clear" w:color="auto" w:fill="auto"/>
            <w:noWrap/>
            <w:vAlign w:val="center"/>
          </w:tcPr>
          <w:p w14:paraId="6EA03258">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石桥</w:t>
            </w:r>
            <w:r>
              <w:rPr>
                <w:rFonts w:hint="default" w:ascii="Times New Roman" w:hAnsi="Times New Roman" w:eastAsia="仿宋_GB2312" w:cs="Times New Roman"/>
                <w:color w:val="000000"/>
                <w:kern w:val="0"/>
                <w:sz w:val="24"/>
                <w:szCs w:val="24"/>
                <w:lang w:val="en-US" w:eastAsia="zh-CN" w:bidi="ar"/>
              </w:rPr>
              <w:t>镇</w:t>
            </w:r>
          </w:p>
        </w:tc>
        <w:tc>
          <w:tcPr>
            <w:tcW w:w="1372" w:type="pct"/>
            <w:tcBorders>
              <w:top w:val="single" w:color="auto" w:sz="4" w:space="0"/>
              <w:left w:val="nil"/>
              <w:bottom w:val="single" w:color="auto" w:sz="4" w:space="0"/>
              <w:right w:val="single" w:color="auto" w:sz="4" w:space="0"/>
            </w:tcBorders>
            <w:shd w:val="clear" w:color="auto" w:fill="auto"/>
            <w:noWrap/>
            <w:vAlign w:val="center"/>
          </w:tcPr>
          <w:p w14:paraId="536E5A81">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10.646</w:t>
            </w:r>
            <w:r>
              <w:rPr>
                <w:rFonts w:hint="eastAsia" w:ascii="Times New Roman" w:hAnsi="Times New Roman" w:eastAsia="仿宋_GB2312" w:cs="Times New Roman"/>
                <w:color w:val="000000"/>
                <w:kern w:val="0"/>
                <w:sz w:val="24"/>
                <w:szCs w:val="24"/>
                <w:lang w:val="en-US" w:eastAsia="zh-CN" w:bidi="ar"/>
              </w:rPr>
              <w:t>2</w:t>
            </w:r>
          </w:p>
        </w:tc>
      </w:tr>
      <w:tr w14:paraId="04FD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3627" w:type="pct"/>
            <w:gridSpan w:val="2"/>
            <w:vAlign w:val="center"/>
          </w:tcPr>
          <w:p w14:paraId="1D829DDC">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合计</w:t>
            </w:r>
          </w:p>
        </w:tc>
        <w:tc>
          <w:tcPr>
            <w:tcW w:w="1372" w:type="pct"/>
            <w:tcBorders>
              <w:top w:val="single" w:color="auto" w:sz="4" w:space="0"/>
              <w:bottom w:val="single" w:color="auto" w:sz="4" w:space="0"/>
            </w:tcBorders>
            <w:noWrap/>
            <w:vAlign w:val="center"/>
          </w:tcPr>
          <w:p w14:paraId="234FFE23">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b/>
                <w:bCs/>
                <w:color w:val="000000"/>
                <w:kern w:val="0"/>
                <w:sz w:val="24"/>
                <w:szCs w:val="24"/>
                <w:lang w:bidi="ar"/>
              </w:rPr>
              <w:t>10.646</w:t>
            </w:r>
            <w:r>
              <w:rPr>
                <w:rFonts w:hint="eastAsia" w:ascii="Times New Roman" w:hAnsi="Times New Roman" w:eastAsia="仿宋_GB2312" w:cs="Times New Roman"/>
                <w:b/>
                <w:bCs/>
                <w:color w:val="000000"/>
                <w:kern w:val="0"/>
                <w:sz w:val="24"/>
                <w:szCs w:val="24"/>
                <w:lang w:val="en-US" w:eastAsia="zh-CN" w:bidi="ar"/>
              </w:rPr>
              <w:t>2</w:t>
            </w:r>
          </w:p>
        </w:tc>
      </w:tr>
    </w:tbl>
    <w:p w14:paraId="6C4F0DEB">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三、成片开发的必要性</w:t>
      </w:r>
    </w:p>
    <w:p w14:paraId="5665C82E">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eastAsia" w:ascii="Times New Roman" w:hAnsi="Times New Roman" w:eastAsia="仿宋_GB2312" w:cs="Times New Roman"/>
          <w:snapToGrid/>
          <w:kern w:val="2"/>
          <w:sz w:val="32"/>
          <w:szCs w:val="32"/>
          <w:lang w:val="en-US" w:eastAsia="zh-CN" w:bidi="ar-SA"/>
        </w:rPr>
        <w:t>“</w:t>
      </w:r>
      <w:r>
        <w:rPr>
          <w:rFonts w:hint="default" w:ascii="Times New Roman" w:hAnsi="Times New Roman" w:eastAsia="仿宋_GB2312" w:cs="Times New Roman"/>
          <w:snapToGrid/>
          <w:kern w:val="2"/>
          <w:sz w:val="32"/>
          <w:szCs w:val="32"/>
          <w:lang w:val="en-US" w:eastAsia="zh-CN" w:bidi="ar-SA"/>
        </w:rPr>
        <w:t>十四五</w:t>
      </w:r>
      <w:r>
        <w:rPr>
          <w:rFonts w:hint="eastAsia" w:ascii="Times New Roman" w:hAnsi="Times New Roman" w:eastAsia="仿宋_GB2312" w:cs="Times New Roman"/>
          <w:snapToGrid/>
          <w:kern w:val="2"/>
          <w:sz w:val="32"/>
          <w:szCs w:val="32"/>
          <w:lang w:val="en-US" w:eastAsia="zh-CN" w:bidi="ar-SA"/>
        </w:rPr>
        <w:t>”</w:t>
      </w:r>
      <w:r>
        <w:rPr>
          <w:rFonts w:hint="default" w:ascii="Times New Roman" w:hAnsi="Times New Roman" w:eastAsia="仿宋_GB2312" w:cs="Times New Roman"/>
          <w:snapToGrid/>
          <w:kern w:val="2"/>
          <w:sz w:val="32"/>
          <w:szCs w:val="32"/>
          <w:lang w:val="en-US" w:eastAsia="zh-CN" w:bidi="ar-SA"/>
        </w:rPr>
        <w:t>时期，赣榆区坚持</w:t>
      </w:r>
      <w:r>
        <w:rPr>
          <w:rFonts w:hint="eastAsia" w:ascii="Times New Roman" w:hAnsi="Times New Roman" w:eastAsia="仿宋_GB2312" w:cs="Times New Roman"/>
          <w:snapToGrid/>
          <w:kern w:val="2"/>
          <w:sz w:val="32"/>
          <w:szCs w:val="32"/>
          <w:lang w:val="en-US" w:eastAsia="zh-CN" w:bidi="ar-SA"/>
        </w:rPr>
        <w:t>“</w:t>
      </w:r>
      <w:r>
        <w:rPr>
          <w:rFonts w:hint="default" w:ascii="Times New Roman" w:hAnsi="Times New Roman" w:eastAsia="仿宋_GB2312" w:cs="Times New Roman"/>
          <w:snapToGrid/>
          <w:kern w:val="2"/>
          <w:sz w:val="32"/>
          <w:szCs w:val="32"/>
          <w:lang w:val="en-US" w:eastAsia="zh-CN" w:bidi="ar-SA"/>
        </w:rPr>
        <w:t>高质发展、后发先至</w:t>
      </w:r>
      <w:r>
        <w:rPr>
          <w:rFonts w:hint="eastAsia" w:ascii="Times New Roman" w:hAnsi="Times New Roman" w:eastAsia="仿宋_GB2312" w:cs="Times New Roman"/>
          <w:snapToGrid/>
          <w:kern w:val="2"/>
          <w:sz w:val="32"/>
          <w:szCs w:val="32"/>
          <w:lang w:val="en-US" w:eastAsia="zh-CN" w:bidi="ar-SA"/>
        </w:rPr>
        <w:t>”</w:t>
      </w:r>
      <w:r>
        <w:rPr>
          <w:rFonts w:hint="default" w:ascii="Times New Roman" w:hAnsi="Times New Roman" w:eastAsia="仿宋_GB2312" w:cs="Times New Roman"/>
          <w:snapToGrid/>
          <w:kern w:val="2"/>
          <w:sz w:val="32"/>
          <w:szCs w:val="32"/>
          <w:lang w:val="en-US" w:eastAsia="zh-CN" w:bidi="ar-SA"/>
        </w:rPr>
        <w:t>主题主线，根据高质量发展的要求，树立城市开发建设新发展观念，由历史性的零散、单个、低效的土地开发模式向整体、集中、成片的开发方式转变。土地征收成片开发方案的实施将有助于加快区域有机融合、联动发展，支持各镇、区、平台立足区位特点、资源禀赋、产业基础等独特优势，培育壮大特色主导产业，统筹推进产城融合、城乡一体化发展，协同推进江苏北部领港工业基地，海州湾美丽宜居城市建设。</w:t>
      </w:r>
    </w:p>
    <w:p w14:paraId="2D45CFE1">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四、公益性用地</w:t>
      </w:r>
    </w:p>
    <w:p w14:paraId="5A4184C7">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片区公益性用地比例符合产城融合类片区公益性用地占比一般不低于40%、工业主导类片区一般不低于25%的相关规定。具体内容详见表2。</w:t>
      </w:r>
    </w:p>
    <w:p w14:paraId="0586B3C4">
      <w:pPr>
        <w:spacing w:line="540" w:lineRule="exact"/>
        <w:jc w:val="center"/>
        <w:rPr>
          <w:rFonts w:hint="default" w:ascii="Times New Roman" w:hAnsi="Times New Roman" w:eastAsia="仿宋_GB2312" w:cs="Times New Roman"/>
          <w:sz w:val="30"/>
          <w:szCs w:val="30"/>
        </w:rPr>
      </w:pPr>
      <w:r>
        <w:rPr>
          <w:rFonts w:hint="default" w:ascii="Times New Roman" w:hAnsi="Times New Roman" w:eastAsia="仿宋_GB2312" w:cs="Times New Roman"/>
          <w:sz w:val="30"/>
          <w:szCs w:val="30"/>
        </w:rPr>
        <w:t>表2 公益性用地情况统计表</w:t>
      </w:r>
    </w:p>
    <w:p w14:paraId="71A27A00">
      <w:pPr>
        <w:autoSpaceDE w:val="0"/>
        <w:spacing w:line="540" w:lineRule="exact"/>
        <w:ind w:firstLine="480" w:firstLineChars="200"/>
        <w:jc w:val="right"/>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单位：公顷、%</w:t>
      </w:r>
    </w:p>
    <w:tbl>
      <w:tblPr>
        <w:tblStyle w:val="9"/>
        <w:tblW w:w="88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7"/>
        <w:gridCol w:w="1519"/>
        <w:gridCol w:w="1219"/>
        <w:gridCol w:w="1181"/>
        <w:gridCol w:w="1200"/>
        <w:gridCol w:w="1264"/>
      </w:tblGrid>
      <w:tr w14:paraId="32F22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tblHeader/>
          <w:jc w:val="center"/>
        </w:trPr>
        <w:tc>
          <w:tcPr>
            <w:tcW w:w="2447" w:type="dxa"/>
            <w:noWrap/>
            <w:vAlign w:val="center"/>
          </w:tcPr>
          <w:p w14:paraId="1F107D63">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片区名称</w:t>
            </w:r>
          </w:p>
        </w:tc>
        <w:tc>
          <w:tcPr>
            <w:tcW w:w="1519" w:type="dxa"/>
            <w:noWrap/>
            <w:vAlign w:val="center"/>
          </w:tcPr>
          <w:p w14:paraId="29DA87ED">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片区类型</w:t>
            </w:r>
          </w:p>
        </w:tc>
        <w:tc>
          <w:tcPr>
            <w:tcW w:w="1219" w:type="dxa"/>
            <w:noWrap/>
            <w:vAlign w:val="center"/>
          </w:tcPr>
          <w:p w14:paraId="7D2CEA89">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片区面积</w:t>
            </w:r>
          </w:p>
        </w:tc>
        <w:tc>
          <w:tcPr>
            <w:tcW w:w="1181" w:type="dxa"/>
            <w:noWrap/>
            <w:vAlign w:val="center"/>
          </w:tcPr>
          <w:p w14:paraId="51474FCA">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拟征收土地面积</w:t>
            </w:r>
          </w:p>
        </w:tc>
        <w:tc>
          <w:tcPr>
            <w:tcW w:w="1200" w:type="dxa"/>
            <w:noWrap/>
            <w:vAlign w:val="center"/>
          </w:tcPr>
          <w:p w14:paraId="1527C158">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公益性用地面积</w:t>
            </w:r>
          </w:p>
        </w:tc>
        <w:tc>
          <w:tcPr>
            <w:tcW w:w="1264" w:type="dxa"/>
            <w:noWrap/>
            <w:vAlign w:val="center"/>
          </w:tcPr>
          <w:p w14:paraId="69664B58">
            <w:pPr>
              <w:autoSpaceDE w:val="0"/>
              <w:jc w:val="center"/>
              <w:rPr>
                <w:rFonts w:hint="default" w:ascii="Times New Roman" w:hAnsi="Times New Roman" w:eastAsia="仿宋_GB2312" w:cs="Times New Roman"/>
                <w:b/>
                <w:bCs/>
                <w:sz w:val="24"/>
                <w:szCs w:val="24"/>
              </w:rPr>
            </w:pPr>
            <w:r>
              <w:rPr>
                <w:rFonts w:hint="default" w:ascii="Times New Roman" w:hAnsi="Times New Roman" w:eastAsia="仿宋_GB2312" w:cs="Times New Roman"/>
                <w:b/>
                <w:bCs/>
                <w:sz w:val="24"/>
                <w:szCs w:val="24"/>
              </w:rPr>
              <w:t>公益性用地比例</w:t>
            </w:r>
          </w:p>
        </w:tc>
      </w:tr>
      <w:tr w14:paraId="0B155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47" w:type="dxa"/>
            <w:noWrap/>
            <w:vAlign w:val="center"/>
          </w:tcPr>
          <w:p w14:paraId="6B88BA1C">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石桥镇食品产业集聚区片区</w:t>
            </w:r>
          </w:p>
        </w:tc>
        <w:tc>
          <w:tcPr>
            <w:tcW w:w="1519" w:type="dxa"/>
            <w:shd w:val="clear" w:color="auto" w:fill="auto"/>
            <w:noWrap/>
            <w:vAlign w:val="center"/>
          </w:tcPr>
          <w:p w14:paraId="35BED71D">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产城融合型</w:t>
            </w:r>
          </w:p>
        </w:tc>
        <w:tc>
          <w:tcPr>
            <w:tcW w:w="1219" w:type="dxa"/>
            <w:shd w:val="clear" w:color="auto" w:fill="auto"/>
            <w:noWrap/>
            <w:vAlign w:val="center"/>
          </w:tcPr>
          <w:p w14:paraId="24812F41">
            <w:pPr>
              <w:widowControl/>
              <w:jc w:val="center"/>
              <w:textAlignment w:val="center"/>
              <w:rPr>
                <w:rFonts w:hint="default" w:ascii="Times New Roman" w:hAnsi="Times New Roman" w:eastAsia="仿宋_GB2312" w:cs="Times New Roman"/>
                <w:color w:val="000000"/>
                <w:kern w:val="0"/>
                <w:sz w:val="24"/>
                <w:szCs w:val="24"/>
                <w:lang w:val="en-US" w:eastAsia="zh-CN" w:bidi="ar"/>
              </w:rPr>
            </w:pPr>
            <w:r>
              <w:rPr>
                <w:rFonts w:hint="default" w:ascii="Times New Roman" w:hAnsi="Times New Roman" w:eastAsia="仿宋_GB2312" w:cs="Times New Roman"/>
                <w:color w:val="000000"/>
                <w:kern w:val="0"/>
                <w:sz w:val="24"/>
                <w:szCs w:val="24"/>
                <w:lang w:bidi="ar"/>
              </w:rPr>
              <w:t>10.646</w:t>
            </w:r>
            <w:r>
              <w:rPr>
                <w:rFonts w:hint="eastAsia" w:ascii="Times New Roman" w:hAnsi="Times New Roman" w:eastAsia="仿宋_GB2312" w:cs="Times New Roman"/>
                <w:color w:val="000000"/>
                <w:kern w:val="0"/>
                <w:sz w:val="24"/>
                <w:szCs w:val="24"/>
                <w:lang w:val="en-US" w:eastAsia="zh-CN" w:bidi="ar"/>
              </w:rPr>
              <w:t>2</w:t>
            </w:r>
          </w:p>
        </w:tc>
        <w:tc>
          <w:tcPr>
            <w:tcW w:w="1181" w:type="dxa"/>
            <w:noWrap/>
            <w:vAlign w:val="center"/>
          </w:tcPr>
          <w:p w14:paraId="03F56559">
            <w:pPr>
              <w:widowControl/>
              <w:jc w:val="center"/>
              <w:textAlignment w:val="center"/>
              <w:rPr>
                <w:rFonts w:hint="default" w:ascii="Times New Roman" w:hAnsi="Times New Roman" w:eastAsia="仿宋_GB2312" w:cs="Times New Roman"/>
                <w:b/>
                <w:bCs/>
                <w:color w:val="000000"/>
                <w:kern w:val="0"/>
                <w:sz w:val="24"/>
                <w:szCs w:val="24"/>
                <w:lang w:val="en-US" w:eastAsia="zh-CN" w:bidi="ar"/>
              </w:rPr>
            </w:pPr>
            <w:r>
              <w:rPr>
                <w:rFonts w:hint="eastAsia" w:ascii="Times New Roman" w:hAnsi="Times New Roman" w:eastAsia="仿宋_GB2312" w:cs="Times New Roman"/>
                <w:b w:val="0"/>
                <w:bCs w:val="0"/>
                <w:color w:val="000000"/>
                <w:kern w:val="0"/>
                <w:sz w:val="24"/>
                <w:szCs w:val="24"/>
                <w:lang w:val="en-US" w:eastAsia="zh-CN" w:bidi="ar"/>
              </w:rPr>
              <w:t>9.4684</w:t>
            </w:r>
          </w:p>
        </w:tc>
        <w:tc>
          <w:tcPr>
            <w:tcW w:w="1200" w:type="dxa"/>
            <w:noWrap/>
            <w:vAlign w:val="center"/>
          </w:tcPr>
          <w:p w14:paraId="62989A1A">
            <w:pPr>
              <w:widowControl/>
              <w:jc w:val="center"/>
              <w:textAlignment w:val="center"/>
              <w:rPr>
                <w:rFonts w:hint="default" w:ascii="Times New Roman" w:hAnsi="Times New Roman" w:eastAsia="仿宋_GB2312" w:cs="Times New Roman"/>
                <w:color w:val="000000"/>
                <w:kern w:val="0"/>
                <w:sz w:val="24"/>
                <w:szCs w:val="24"/>
                <w:lang w:val="en-US" w:eastAsia="zh-CN" w:bidi="ar"/>
              </w:rPr>
            </w:pPr>
            <w:r>
              <w:rPr>
                <w:rFonts w:hint="eastAsia" w:ascii="Times New Roman" w:hAnsi="Times New Roman" w:eastAsia="仿宋_GB2312" w:cs="Times New Roman"/>
                <w:color w:val="000000"/>
                <w:kern w:val="0"/>
                <w:sz w:val="24"/>
                <w:szCs w:val="24"/>
                <w:lang w:bidi="ar"/>
              </w:rPr>
              <w:t>4.4531</w:t>
            </w:r>
          </w:p>
        </w:tc>
        <w:tc>
          <w:tcPr>
            <w:tcW w:w="1264" w:type="dxa"/>
            <w:shd w:val="clear" w:color="auto" w:fill="auto"/>
            <w:noWrap/>
            <w:vAlign w:val="center"/>
          </w:tcPr>
          <w:p w14:paraId="21308F1C">
            <w:pPr>
              <w:widowControl/>
              <w:jc w:val="center"/>
              <w:textAlignment w:val="center"/>
              <w:rPr>
                <w:rFonts w:hint="default" w:ascii="Times New Roman" w:hAnsi="Times New Roman" w:eastAsia="仿宋_GB2312" w:cs="Times New Roman"/>
                <w:color w:val="000000"/>
                <w:kern w:val="0"/>
                <w:sz w:val="24"/>
                <w:szCs w:val="24"/>
                <w:lang w:val="en-US" w:eastAsia="zh-CN" w:bidi="ar"/>
              </w:rPr>
            </w:pPr>
            <w:r>
              <w:rPr>
                <w:rFonts w:hint="eastAsia" w:ascii="Times New Roman" w:hAnsi="Times New Roman" w:eastAsia="仿宋_GB2312" w:cs="Times New Roman"/>
                <w:color w:val="000000"/>
                <w:kern w:val="0"/>
                <w:sz w:val="24"/>
                <w:szCs w:val="24"/>
                <w:lang w:val="en-US" w:eastAsia="zh-CN" w:bidi="ar"/>
              </w:rPr>
              <w:t>41.83</w:t>
            </w:r>
          </w:p>
        </w:tc>
      </w:tr>
      <w:tr w14:paraId="322E1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966" w:type="dxa"/>
            <w:gridSpan w:val="2"/>
            <w:noWrap/>
            <w:vAlign w:val="center"/>
          </w:tcPr>
          <w:p w14:paraId="06F88AA4">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合计</w:t>
            </w:r>
          </w:p>
        </w:tc>
        <w:tc>
          <w:tcPr>
            <w:tcW w:w="1219" w:type="dxa"/>
            <w:shd w:val="clear" w:color="auto" w:fill="auto"/>
            <w:noWrap/>
            <w:vAlign w:val="center"/>
          </w:tcPr>
          <w:p w14:paraId="1E6FC886">
            <w:pPr>
              <w:widowControl/>
              <w:jc w:val="center"/>
              <w:textAlignment w:val="center"/>
              <w:rPr>
                <w:rFonts w:hint="default" w:ascii="Times New Roman" w:hAnsi="Times New Roman" w:eastAsia="仿宋_GB2312" w:cs="Times New Roman"/>
                <w:b/>
                <w:bCs/>
                <w:color w:val="000000"/>
                <w:kern w:val="0"/>
                <w:sz w:val="24"/>
                <w:szCs w:val="24"/>
                <w:lang w:val="en-US" w:eastAsia="zh-CN" w:bidi="ar"/>
              </w:rPr>
            </w:pPr>
            <w:r>
              <w:rPr>
                <w:rFonts w:hint="default" w:ascii="Times New Roman" w:hAnsi="Times New Roman" w:eastAsia="仿宋_GB2312" w:cs="Times New Roman"/>
                <w:b/>
                <w:bCs/>
                <w:color w:val="000000"/>
                <w:kern w:val="0"/>
                <w:sz w:val="24"/>
                <w:szCs w:val="24"/>
                <w:lang w:bidi="ar"/>
              </w:rPr>
              <w:t>10.646</w:t>
            </w:r>
            <w:r>
              <w:rPr>
                <w:rFonts w:hint="eastAsia" w:ascii="Times New Roman" w:hAnsi="Times New Roman" w:eastAsia="仿宋_GB2312" w:cs="Times New Roman"/>
                <w:b/>
                <w:bCs/>
                <w:color w:val="000000"/>
                <w:kern w:val="0"/>
                <w:sz w:val="24"/>
                <w:szCs w:val="24"/>
                <w:lang w:val="en-US" w:eastAsia="zh-CN" w:bidi="ar"/>
              </w:rPr>
              <w:t>2</w:t>
            </w:r>
          </w:p>
        </w:tc>
        <w:tc>
          <w:tcPr>
            <w:tcW w:w="1181" w:type="dxa"/>
            <w:noWrap/>
            <w:vAlign w:val="center"/>
          </w:tcPr>
          <w:p w14:paraId="626575DA">
            <w:pPr>
              <w:widowControl/>
              <w:jc w:val="center"/>
              <w:textAlignment w:val="center"/>
              <w:rPr>
                <w:rFonts w:hint="default" w:ascii="Times New Roman" w:hAnsi="Times New Roman" w:eastAsia="仿宋_GB2312" w:cs="Times New Roman"/>
                <w:b/>
                <w:bCs/>
                <w:color w:val="000000"/>
                <w:kern w:val="0"/>
                <w:sz w:val="24"/>
                <w:szCs w:val="24"/>
                <w:lang w:val="en-US" w:eastAsia="zh-CN" w:bidi="ar"/>
              </w:rPr>
            </w:pPr>
            <w:r>
              <w:rPr>
                <w:rFonts w:hint="eastAsia" w:ascii="Times New Roman" w:hAnsi="Times New Roman" w:eastAsia="仿宋_GB2312" w:cs="Times New Roman"/>
                <w:b/>
                <w:bCs/>
                <w:color w:val="000000"/>
                <w:kern w:val="0"/>
                <w:sz w:val="24"/>
                <w:szCs w:val="24"/>
                <w:lang w:val="en-US" w:eastAsia="zh-CN" w:bidi="ar"/>
              </w:rPr>
              <w:t>9.4684</w:t>
            </w:r>
          </w:p>
        </w:tc>
        <w:tc>
          <w:tcPr>
            <w:tcW w:w="1200" w:type="dxa"/>
            <w:noWrap/>
            <w:vAlign w:val="center"/>
          </w:tcPr>
          <w:p w14:paraId="57BF39DC">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w:t>
            </w:r>
          </w:p>
        </w:tc>
        <w:tc>
          <w:tcPr>
            <w:tcW w:w="1264" w:type="dxa"/>
            <w:shd w:val="clear" w:color="auto" w:fill="auto"/>
            <w:noWrap/>
            <w:vAlign w:val="center"/>
          </w:tcPr>
          <w:p w14:paraId="5A48EFD4">
            <w:pPr>
              <w:widowControl/>
              <w:jc w:val="center"/>
              <w:textAlignment w:val="center"/>
              <w:rPr>
                <w:rFonts w:hint="default" w:ascii="Times New Roman" w:hAnsi="Times New Roman" w:eastAsia="仿宋_GB2312" w:cs="Times New Roman"/>
                <w:color w:val="000000"/>
                <w:kern w:val="0"/>
                <w:sz w:val="24"/>
                <w:szCs w:val="24"/>
                <w:lang w:bidi="ar"/>
              </w:rPr>
            </w:pPr>
            <w:r>
              <w:rPr>
                <w:rFonts w:hint="default" w:ascii="Times New Roman" w:hAnsi="Times New Roman" w:eastAsia="仿宋_GB2312" w:cs="Times New Roman"/>
                <w:color w:val="000000"/>
                <w:kern w:val="0"/>
                <w:sz w:val="24"/>
                <w:szCs w:val="24"/>
                <w:lang w:bidi="ar"/>
              </w:rPr>
              <w:t>-</w:t>
            </w:r>
          </w:p>
        </w:tc>
      </w:tr>
    </w:tbl>
    <w:p w14:paraId="17AEAC49">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五、规划符合情况</w:t>
      </w:r>
    </w:p>
    <w:p w14:paraId="02EA7358">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1、本方案符合国民经济和社会发展规划的发展定位、要求，已纳入国民经济和社会发展年度计划。</w:t>
      </w:r>
    </w:p>
    <w:p w14:paraId="3383262B">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2、本方案范围均位于城镇开发边界范围内，不涉及永久基本农田和生态保护红线、生态管控区。</w:t>
      </w:r>
    </w:p>
    <w:p w14:paraId="7D24A769">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3、本方案符合片区所在镇区的控制性详细规划。</w:t>
      </w:r>
    </w:p>
    <w:p w14:paraId="77A97133">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4、片区不涉及已建成和正在建设的高标准农田；不涉及已划定的粮食生产功能区和重要农产品生产保护区。</w:t>
      </w:r>
    </w:p>
    <w:p w14:paraId="5E40A025">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5、片区不涉及省政府批准的《江苏省骨干河道名录（2018修订）》和《江苏省湖泊保护名录（2021修编）》中的河道、湖泊以及注册登记的水库。</w:t>
      </w:r>
    </w:p>
    <w:p w14:paraId="15DB19A6">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六、拟建设项目、开发时序和实施计划</w:t>
      </w:r>
    </w:p>
    <w:p w14:paraId="2A4711AE">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成片开发范围内拟建设项目以产业项目、</w:t>
      </w:r>
      <w:r>
        <w:rPr>
          <w:rFonts w:hint="eastAsia" w:ascii="Times New Roman" w:hAnsi="Times New Roman" w:eastAsia="仿宋_GB2312" w:cs="Times New Roman"/>
          <w:snapToGrid/>
          <w:kern w:val="2"/>
          <w:sz w:val="32"/>
          <w:szCs w:val="32"/>
          <w:lang w:val="en-US" w:eastAsia="zh-CN" w:bidi="ar-SA"/>
        </w:rPr>
        <w:t>商业项目、</w:t>
      </w:r>
      <w:r>
        <w:rPr>
          <w:rFonts w:hint="default" w:ascii="Times New Roman" w:hAnsi="Times New Roman" w:eastAsia="仿宋_GB2312" w:cs="Times New Roman"/>
          <w:snapToGrid/>
          <w:kern w:val="2"/>
          <w:sz w:val="32"/>
          <w:szCs w:val="32"/>
          <w:lang w:val="en-US" w:eastAsia="zh-CN" w:bidi="ar-SA"/>
        </w:rPr>
        <w:t>配套基础设施项目为主，计划在三年内分批次启动土地征收工作。</w:t>
      </w:r>
    </w:p>
    <w:p w14:paraId="6E3BE82D">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七、选址适宜性</w:t>
      </w:r>
    </w:p>
    <w:p w14:paraId="2B41B1F2">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项目选址未见现状地质灾害，未处于地质灾害易发区；不涉及污染性土壤和历史文物。</w:t>
      </w:r>
    </w:p>
    <w:p w14:paraId="1A8DD0FF">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八、落实被征地群众安置补偿、维护群众利益的计划措施</w:t>
      </w:r>
    </w:p>
    <w:p w14:paraId="3477875B">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1、征地补偿标准：参照《市政府关于重新公布连云港市征地区片综合地价执行标准的通知》（连政规发〔2024〕3号）的标准执行。</w:t>
      </w:r>
    </w:p>
    <w:p w14:paraId="1F722118">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2、征地安置：赣榆区人民政府计划通过货币安置、社保安置、搬迁安置相结合的安置方式，妥善解决好被征地农民的生产和生活问题，保证原有生活水平不降低，长远生计有保障。</w:t>
      </w:r>
    </w:p>
    <w:p w14:paraId="44A74101">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default" w:ascii="Times New Roman" w:hAnsi="Times New Roman" w:eastAsia="仿宋_GB2312" w:cs="Times New Roman"/>
          <w:snapToGrid/>
          <w:kern w:val="2"/>
          <w:sz w:val="32"/>
          <w:szCs w:val="32"/>
          <w:lang w:val="en-US" w:eastAsia="zh-CN" w:bidi="ar-SA"/>
        </w:rPr>
        <w:t>3、征地程序：连云港市赣榆区自然资源和规划局将严格按规定履行征地报批前告知、现状调查及确认、听证、公告等程序。</w:t>
      </w:r>
    </w:p>
    <w:p w14:paraId="1723575F">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九、土地利用效益评估</w:t>
      </w:r>
    </w:p>
    <w:p w14:paraId="5BDEC21A">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eastAsia" w:ascii="Times New Roman" w:hAnsi="Times New Roman" w:eastAsia="仿宋_GB2312" w:cs="Times New Roman"/>
          <w:snapToGrid/>
          <w:kern w:val="2"/>
          <w:sz w:val="32"/>
          <w:szCs w:val="32"/>
          <w:lang w:val="en-US" w:eastAsia="zh-CN" w:bidi="ar-SA"/>
        </w:rPr>
        <w:t>1、经济效益。土</w:t>
      </w:r>
      <w:r>
        <w:rPr>
          <w:rFonts w:hint="default" w:ascii="Times New Roman" w:hAnsi="Times New Roman" w:eastAsia="仿宋_GB2312" w:cs="Times New Roman"/>
          <w:snapToGrid/>
          <w:kern w:val="2"/>
          <w:sz w:val="32"/>
          <w:szCs w:val="32"/>
          <w:lang w:val="en-US" w:eastAsia="zh-CN" w:bidi="ar-SA"/>
        </w:rPr>
        <w:t>地成片开发将通过土地征收、划拨和市场手段将土地资源配置到各个土地使用者手中，为城市建设储备了后备力量与经济发展保障，为赣榆经济的可持续发展、高质量发展与防范金融风险的能力提供坚实的后盾。</w:t>
      </w:r>
    </w:p>
    <w:p w14:paraId="6D099C41">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eastAsia" w:ascii="Times New Roman" w:hAnsi="Times New Roman" w:eastAsia="仿宋_GB2312" w:cs="Times New Roman"/>
          <w:snapToGrid/>
          <w:kern w:val="2"/>
          <w:sz w:val="32"/>
          <w:szCs w:val="32"/>
          <w:lang w:val="en-US" w:eastAsia="zh-CN" w:bidi="ar-SA"/>
        </w:rPr>
        <w:t>2、社会效益。</w:t>
      </w:r>
      <w:r>
        <w:rPr>
          <w:rFonts w:hint="default" w:ascii="Times New Roman" w:hAnsi="Times New Roman" w:eastAsia="仿宋_GB2312" w:cs="Times New Roman"/>
          <w:snapToGrid/>
          <w:kern w:val="2"/>
          <w:sz w:val="32"/>
          <w:szCs w:val="32"/>
          <w:lang w:val="en-US" w:eastAsia="zh-CN" w:bidi="ar-SA"/>
        </w:rPr>
        <w:t>本方案成片开发项目的实施会对社会、经济、环境等各方面都产生积极影响，对土地利用、分配公平、环境改善、增加就业等方面有巨大的促进作用。通过本方案成片开发的实施，能够真正实现统一规划、统一配套、统一开发、统一建设、统一管理，激活存量土地利用价值，提高城市土地资源配置效率。</w:t>
      </w:r>
    </w:p>
    <w:p w14:paraId="672D230A">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Times New Roman" w:hAnsi="Times New Roman" w:eastAsia="仿宋_GB2312" w:cs="Times New Roman"/>
          <w:snapToGrid/>
          <w:kern w:val="2"/>
          <w:sz w:val="32"/>
          <w:szCs w:val="32"/>
          <w:lang w:val="en-US" w:eastAsia="zh-CN" w:bidi="ar-SA"/>
        </w:rPr>
      </w:pPr>
      <w:r>
        <w:rPr>
          <w:rFonts w:hint="eastAsia" w:ascii="Times New Roman" w:hAnsi="Times New Roman" w:eastAsia="仿宋_GB2312" w:cs="Times New Roman"/>
          <w:snapToGrid/>
          <w:kern w:val="2"/>
          <w:sz w:val="32"/>
          <w:szCs w:val="32"/>
          <w:lang w:val="en-US" w:eastAsia="zh-CN" w:bidi="ar-SA"/>
        </w:rPr>
        <w:t>3、生态效益。</w:t>
      </w:r>
      <w:r>
        <w:rPr>
          <w:rFonts w:hint="default" w:ascii="Times New Roman" w:hAnsi="Times New Roman" w:eastAsia="仿宋_GB2312" w:cs="Times New Roman"/>
          <w:snapToGrid/>
          <w:kern w:val="2"/>
          <w:sz w:val="32"/>
          <w:szCs w:val="32"/>
          <w:lang w:val="en-US" w:eastAsia="zh-CN" w:bidi="ar-SA"/>
        </w:rPr>
        <w:t>土地成片开发将秉持生态优先原则，整体进行生态资源整合，强化生态功能，保证开发环境的稳定性。</w:t>
      </w:r>
    </w:p>
    <w:p w14:paraId="0EB6AA92">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十、结论</w:t>
      </w:r>
    </w:p>
    <w:p w14:paraId="5971A894">
      <w:pPr>
        <w:spacing w:line="360" w:lineRule="auto"/>
        <w:ind w:firstLine="640" w:firstLineChars="200"/>
        <w:rPr>
          <w:rFonts w:hint="default" w:ascii="Times New Roman" w:hAnsi="Times New Roman" w:eastAsia="仿宋_GB2312" w:cs="Times New Roman"/>
          <w:sz w:val="28"/>
        </w:rPr>
      </w:pPr>
      <w:r>
        <w:rPr>
          <w:rFonts w:hint="default" w:ascii="Times New Roman" w:hAnsi="Times New Roman" w:eastAsia="仿宋_GB2312" w:cs="Times New Roman"/>
          <w:sz w:val="32"/>
          <w:szCs w:val="32"/>
        </w:rPr>
        <w:t>《赣榆区</w:t>
      </w:r>
      <w:r>
        <w:rPr>
          <w:rFonts w:hint="eastAsia" w:ascii="Times New Roman" w:hAnsi="Times New Roman" w:eastAsia="仿宋_GB2312" w:cs="Times New Roman"/>
          <w:sz w:val="32"/>
          <w:szCs w:val="32"/>
          <w:lang w:eastAsia="zh-CN"/>
        </w:rPr>
        <w:t>2025-04</w:t>
      </w:r>
      <w:r>
        <w:rPr>
          <w:rFonts w:hint="default" w:ascii="Times New Roman" w:hAnsi="Times New Roman" w:eastAsia="仿宋_GB2312" w:cs="Times New Roman"/>
          <w:sz w:val="32"/>
          <w:szCs w:val="32"/>
        </w:rPr>
        <w:t>号土地征收成片开发方案》符合自然资源部土地征收成片开发的标准，做到了保护耕地、维护农民合法权益、节约集约用地、保护生态环境，能够促进经济社会可持续发展。</w:t>
      </w:r>
    </w:p>
    <w:p w14:paraId="10540226"/>
    <w:p w14:paraId="5505DFBC">
      <w:pPr>
        <w:spacing w:line="360" w:lineRule="auto"/>
        <w:jc w:val="center"/>
        <w:rPr>
          <w:rFonts w:hint="default" w:ascii="Times New Roman" w:hAnsi="Times New Roman" w:eastAsia="方正小标宋_GBK" w:cs="Times New Roman"/>
          <w:b w:val="0"/>
          <w:kern w:val="44"/>
          <w:sz w:val="44"/>
          <w:szCs w:val="44"/>
          <w:lang w:val="en-US" w:eastAsia="zh-CN" w:bidi="ar-SA"/>
        </w:rPr>
      </w:pPr>
      <w:r>
        <w:rPr>
          <w:rFonts w:hint="default" w:ascii="Times New Roman" w:hAnsi="Times New Roman" w:eastAsia="方正小标宋_GBK" w:cs="Times New Roman"/>
          <w:b w:val="0"/>
          <w:kern w:val="44"/>
          <w:sz w:val="44"/>
          <w:szCs w:val="44"/>
          <w:lang w:val="en-US" w:eastAsia="zh-CN" w:bidi="ar-SA"/>
        </w:rPr>
        <w:t>片区范围示意图</w:t>
      </w:r>
    </w:p>
    <w:p w14:paraId="7125104B">
      <w:pPr>
        <w:spacing w:line="360" w:lineRule="auto"/>
        <w:ind w:firstLine="640" w:firstLineChars="200"/>
        <w:rPr>
          <w:rFonts w:hint="default" w:ascii="Times New Roman" w:hAnsi="Times New Roman" w:eastAsia="黑体" w:cs="Times New Roman"/>
          <w:sz w:val="32"/>
          <w:szCs w:val="32"/>
        </w:rPr>
      </w:pPr>
    </w:p>
    <w:p w14:paraId="2CE61C01">
      <w:pPr>
        <w:autoSpaceDE w:val="0"/>
        <w:spacing w:line="540" w:lineRule="exact"/>
        <w:ind w:firstLine="640" w:firstLineChars="200"/>
        <w:outlineLvl w:val="1"/>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一、石桥镇食品产业集聚区片区</w:t>
      </w:r>
    </w:p>
    <w:p w14:paraId="6F4E9C3E">
      <w:pPr>
        <w:autoSpaceDE w:val="0"/>
        <w:spacing w:line="540"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成片开发片区范围位于</w:t>
      </w:r>
      <w:r>
        <w:rPr>
          <w:rFonts w:hint="eastAsia" w:ascii="Times New Roman" w:hAnsi="Times New Roman" w:eastAsia="仿宋_GB2312" w:cs="Times New Roman"/>
          <w:sz w:val="32"/>
          <w:szCs w:val="32"/>
          <w:lang w:val="en-US" w:eastAsia="zh-CN"/>
        </w:rPr>
        <w:t>石桥</w:t>
      </w:r>
      <w:r>
        <w:rPr>
          <w:rFonts w:hint="default" w:ascii="Times New Roman" w:hAnsi="Times New Roman" w:eastAsia="仿宋_GB2312" w:cs="Times New Roman"/>
          <w:sz w:val="32"/>
          <w:szCs w:val="32"/>
        </w:rPr>
        <w:t>镇，涉及</w:t>
      </w:r>
      <w:r>
        <w:rPr>
          <w:rFonts w:hint="eastAsia" w:ascii="Times New Roman" w:hAnsi="Times New Roman" w:eastAsia="仿宋_GB2312" w:cs="Times New Roman"/>
          <w:sz w:val="32"/>
          <w:szCs w:val="32"/>
          <w:lang w:val="en-US" w:eastAsia="zh-CN"/>
        </w:rPr>
        <w:t>石桥</w:t>
      </w:r>
      <w:r>
        <w:rPr>
          <w:rFonts w:hint="default" w:ascii="Times New Roman" w:hAnsi="Times New Roman" w:eastAsia="仿宋_GB2312" w:cs="Times New Roman"/>
          <w:sz w:val="32"/>
          <w:szCs w:val="32"/>
        </w:rPr>
        <w:t>村。片区东至福祥路东侧，南至发展大道，西至康宁路，北至新石路北侧。总面积10.6462公顷（成片开发范围以最终批复为准）。</w:t>
      </w:r>
    </w:p>
    <w:p w14:paraId="144D72E2">
      <w:pPr>
        <w:rPr>
          <w:rFonts w:hint="default" w:ascii="Times New Roman" w:hAnsi="Times New Roman" w:eastAsia="仿宋_GB2312" w:cs="Times New Roman"/>
          <w:sz w:val="28"/>
        </w:rPr>
      </w:pPr>
      <w:r>
        <w:rPr>
          <w:rFonts w:hint="default" w:ascii="Times New Roman" w:hAnsi="Times New Roman" w:eastAsia="仿宋_GB2312" w:cs="Times New Roman"/>
          <w:sz w:val="28"/>
        </w:rPr>
        <w:drawing>
          <wp:inline distT="0" distB="0" distL="114300" distR="114300">
            <wp:extent cx="5261610" cy="3721100"/>
            <wp:effectExtent l="0" t="0" r="15240" b="12700"/>
            <wp:docPr id="2" name="图片 2" descr="片区范围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片区范围示意图"/>
                    <pic:cNvPicPr>
                      <a:picLocks noChangeAspect="1"/>
                    </pic:cNvPicPr>
                  </pic:nvPicPr>
                  <pic:blipFill>
                    <a:blip r:embed="rId4"/>
                    <a:stretch>
                      <a:fillRect/>
                    </a:stretch>
                  </pic:blipFill>
                  <pic:spPr>
                    <a:xfrm>
                      <a:off x="0" y="0"/>
                      <a:ext cx="5261610" cy="3721100"/>
                    </a:xfrm>
                    <a:prstGeom prst="rect">
                      <a:avLst/>
                    </a:prstGeom>
                  </pic:spPr>
                </pic:pic>
              </a:graphicData>
            </a:graphic>
          </wp:inline>
        </w:drawing>
      </w:r>
    </w:p>
    <w:p w14:paraId="161F0442">
      <w:pPr>
        <w:jc w:val="center"/>
        <w:rPr>
          <w:rFonts w:hint="default" w:ascii="Times New Roman" w:hAnsi="Times New Roman" w:eastAsia="仿宋_GB2312" w:cs="Times New Roman"/>
          <w:sz w:val="28"/>
        </w:rPr>
      </w:pPr>
      <w:r>
        <w:rPr>
          <w:rFonts w:ascii="仿宋_GB2312" w:hAnsi="Times New Roman" w:eastAsia="仿宋_GB2312" w:cs="仿宋_GB2312"/>
          <w:sz w:val="24"/>
          <w:szCs w:val="24"/>
        </w:rPr>
        <w:t>（成片开发范围以最终批复为准）</w:t>
      </w:r>
    </w:p>
    <w:p w14:paraId="40C45833">
      <w:pPr>
        <w:spacing w:line="540" w:lineRule="exact"/>
        <w:ind w:left="5040" w:leftChars="2400" w:firstLine="640" w:firstLineChars="200"/>
        <w:rPr>
          <w:rFonts w:ascii="Times New Roman" w:hAnsi="Times New Roman" w:eastAsia="仿宋_GB2312" w:cs="Times New Roman"/>
          <w:sz w:val="32"/>
          <w:szCs w:val="32"/>
          <w:highlight w:val="yellow"/>
        </w:rPr>
      </w:pPr>
    </w:p>
    <w:p w14:paraId="2B56DA5D">
      <w:pPr>
        <w:spacing w:line="540" w:lineRule="exact"/>
        <w:ind w:left="5040" w:leftChars="2400" w:firstLine="640" w:firstLineChars="200"/>
        <w:rPr>
          <w:rFonts w:ascii="Times New Roman" w:hAnsi="Times New Roman" w:eastAsia="仿宋_GB2312" w:cs="Times New Roman"/>
          <w:sz w:val="32"/>
          <w:szCs w:val="32"/>
          <w:highlight w:val="yellow"/>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Y0MWI4YjY5OWIwNjg2ZmJhYTU4ZDcwODNhZjMwMjEifQ=="/>
  </w:docVars>
  <w:rsids>
    <w:rsidRoot w:val="003555C3"/>
    <w:rsid w:val="00006751"/>
    <w:rsid w:val="000142E2"/>
    <w:rsid w:val="00020FA1"/>
    <w:rsid w:val="00052664"/>
    <w:rsid w:val="00063B48"/>
    <w:rsid w:val="0006649E"/>
    <w:rsid w:val="00072240"/>
    <w:rsid w:val="0007240D"/>
    <w:rsid w:val="000730E6"/>
    <w:rsid w:val="00077ECE"/>
    <w:rsid w:val="00082DD7"/>
    <w:rsid w:val="00096C23"/>
    <w:rsid w:val="000C3D93"/>
    <w:rsid w:val="000D3DAA"/>
    <w:rsid w:val="000E2A7E"/>
    <w:rsid w:val="000E606B"/>
    <w:rsid w:val="000F3238"/>
    <w:rsid w:val="001005E7"/>
    <w:rsid w:val="00101109"/>
    <w:rsid w:val="00102D43"/>
    <w:rsid w:val="001152C2"/>
    <w:rsid w:val="00125ABC"/>
    <w:rsid w:val="00127AB6"/>
    <w:rsid w:val="00133CD2"/>
    <w:rsid w:val="00135834"/>
    <w:rsid w:val="00135D98"/>
    <w:rsid w:val="00145821"/>
    <w:rsid w:val="0016057B"/>
    <w:rsid w:val="00160DF7"/>
    <w:rsid w:val="00160FE6"/>
    <w:rsid w:val="00173765"/>
    <w:rsid w:val="00173768"/>
    <w:rsid w:val="0019143C"/>
    <w:rsid w:val="001A1A6D"/>
    <w:rsid w:val="001A532E"/>
    <w:rsid w:val="001B61A0"/>
    <w:rsid w:val="001C4A47"/>
    <w:rsid w:val="001D5D77"/>
    <w:rsid w:val="001D76BE"/>
    <w:rsid w:val="001E1D8E"/>
    <w:rsid w:val="001E7CE9"/>
    <w:rsid w:val="001F3023"/>
    <w:rsid w:val="001F3789"/>
    <w:rsid w:val="001F5018"/>
    <w:rsid w:val="0020124A"/>
    <w:rsid w:val="002044AF"/>
    <w:rsid w:val="0020549C"/>
    <w:rsid w:val="00205C13"/>
    <w:rsid w:val="00210170"/>
    <w:rsid w:val="00225546"/>
    <w:rsid w:val="00235E0D"/>
    <w:rsid w:val="0024072B"/>
    <w:rsid w:val="002466B5"/>
    <w:rsid w:val="00251FC7"/>
    <w:rsid w:val="00252995"/>
    <w:rsid w:val="00270B01"/>
    <w:rsid w:val="00270E42"/>
    <w:rsid w:val="0027390D"/>
    <w:rsid w:val="00274455"/>
    <w:rsid w:val="00280A83"/>
    <w:rsid w:val="00296240"/>
    <w:rsid w:val="002B3320"/>
    <w:rsid w:val="002C4933"/>
    <w:rsid w:val="002C7F82"/>
    <w:rsid w:val="002D2F61"/>
    <w:rsid w:val="002D5D57"/>
    <w:rsid w:val="002F5BAD"/>
    <w:rsid w:val="003006A6"/>
    <w:rsid w:val="003071F9"/>
    <w:rsid w:val="00307CE8"/>
    <w:rsid w:val="00310C24"/>
    <w:rsid w:val="0032024C"/>
    <w:rsid w:val="00322351"/>
    <w:rsid w:val="00340633"/>
    <w:rsid w:val="00341A0F"/>
    <w:rsid w:val="00345971"/>
    <w:rsid w:val="003555C3"/>
    <w:rsid w:val="00356C53"/>
    <w:rsid w:val="00371183"/>
    <w:rsid w:val="0037552E"/>
    <w:rsid w:val="00381C02"/>
    <w:rsid w:val="003B265A"/>
    <w:rsid w:val="003B3048"/>
    <w:rsid w:val="003B3A42"/>
    <w:rsid w:val="003C3915"/>
    <w:rsid w:val="003D0818"/>
    <w:rsid w:val="003E490C"/>
    <w:rsid w:val="003E7348"/>
    <w:rsid w:val="00402B09"/>
    <w:rsid w:val="00403811"/>
    <w:rsid w:val="004051DE"/>
    <w:rsid w:val="00415572"/>
    <w:rsid w:val="00415A93"/>
    <w:rsid w:val="0041703D"/>
    <w:rsid w:val="00420B85"/>
    <w:rsid w:val="00423457"/>
    <w:rsid w:val="0042626A"/>
    <w:rsid w:val="00427807"/>
    <w:rsid w:val="00434805"/>
    <w:rsid w:val="00436B2D"/>
    <w:rsid w:val="00445921"/>
    <w:rsid w:val="00446E8C"/>
    <w:rsid w:val="00450B50"/>
    <w:rsid w:val="00455C13"/>
    <w:rsid w:val="00457C2D"/>
    <w:rsid w:val="00461F49"/>
    <w:rsid w:val="004813FC"/>
    <w:rsid w:val="00482006"/>
    <w:rsid w:val="00482B3A"/>
    <w:rsid w:val="00485855"/>
    <w:rsid w:val="00493A61"/>
    <w:rsid w:val="004A1F95"/>
    <w:rsid w:val="004A3531"/>
    <w:rsid w:val="004B2DC6"/>
    <w:rsid w:val="004B5BE5"/>
    <w:rsid w:val="004C1689"/>
    <w:rsid w:val="004C28A2"/>
    <w:rsid w:val="004C6F3E"/>
    <w:rsid w:val="004C7270"/>
    <w:rsid w:val="004D1A7E"/>
    <w:rsid w:val="004D2515"/>
    <w:rsid w:val="004E6487"/>
    <w:rsid w:val="004F12DF"/>
    <w:rsid w:val="004F2885"/>
    <w:rsid w:val="004F37EC"/>
    <w:rsid w:val="004F4EB0"/>
    <w:rsid w:val="00505E85"/>
    <w:rsid w:val="00516253"/>
    <w:rsid w:val="00531E9D"/>
    <w:rsid w:val="00537308"/>
    <w:rsid w:val="00547911"/>
    <w:rsid w:val="00556AD4"/>
    <w:rsid w:val="0057040A"/>
    <w:rsid w:val="00571957"/>
    <w:rsid w:val="00575E4E"/>
    <w:rsid w:val="005858CD"/>
    <w:rsid w:val="0058624A"/>
    <w:rsid w:val="00591573"/>
    <w:rsid w:val="005A210B"/>
    <w:rsid w:val="005A3644"/>
    <w:rsid w:val="005A3BD4"/>
    <w:rsid w:val="005B2F6B"/>
    <w:rsid w:val="005B3B82"/>
    <w:rsid w:val="005B6D97"/>
    <w:rsid w:val="005C1EF2"/>
    <w:rsid w:val="005C653C"/>
    <w:rsid w:val="005D6D37"/>
    <w:rsid w:val="005E03C7"/>
    <w:rsid w:val="005E129C"/>
    <w:rsid w:val="005E4042"/>
    <w:rsid w:val="00602076"/>
    <w:rsid w:val="00602822"/>
    <w:rsid w:val="0061063E"/>
    <w:rsid w:val="00615B94"/>
    <w:rsid w:val="00621E9D"/>
    <w:rsid w:val="006325CC"/>
    <w:rsid w:val="00640ED5"/>
    <w:rsid w:val="00642A20"/>
    <w:rsid w:val="00651291"/>
    <w:rsid w:val="00657D6A"/>
    <w:rsid w:val="00662440"/>
    <w:rsid w:val="00665308"/>
    <w:rsid w:val="00670190"/>
    <w:rsid w:val="00682DFD"/>
    <w:rsid w:val="0068484D"/>
    <w:rsid w:val="006A0923"/>
    <w:rsid w:val="006B0407"/>
    <w:rsid w:val="006C249A"/>
    <w:rsid w:val="006C4A68"/>
    <w:rsid w:val="006C6CE1"/>
    <w:rsid w:val="006D4FB6"/>
    <w:rsid w:val="006E003A"/>
    <w:rsid w:val="006E02DA"/>
    <w:rsid w:val="006E0789"/>
    <w:rsid w:val="006E2244"/>
    <w:rsid w:val="006F1D1D"/>
    <w:rsid w:val="006F4042"/>
    <w:rsid w:val="007033FC"/>
    <w:rsid w:val="007042B3"/>
    <w:rsid w:val="00704B06"/>
    <w:rsid w:val="00707B42"/>
    <w:rsid w:val="00710EC8"/>
    <w:rsid w:val="007122AF"/>
    <w:rsid w:val="007403B1"/>
    <w:rsid w:val="007411E5"/>
    <w:rsid w:val="007527D6"/>
    <w:rsid w:val="007642C0"/>
    <w:rsid w:val="00765066"/>
    <w:rsid w:val="00766737"/>
    <w:rsid w:val="00786442"/>
    <w:rsid w:val="00792267"/>
    <w:rsid w:val="007952C8"/>
    <w:rsid w:val="007B5680"/>
    <w:rsid w:val="007D2921"/>
    <w:rsid w:val="007E72D5"/>
    <w:rsid w:val="007F67ED"/>
    <w:rsid w:val="0080304B"/>
    <w:rsid w:val="00805F7B"/>
    <w:rsid w:val="00811004"/>
    <w:rsid w:val="00817CBA"/>
    <w:rsid w:val="00820943"/>
    <w:rsid w:val="00820EDA"/>
    <w:rsid w:val="0082543B"/>
    <w:rsid w:val="0083486B"/>
    <w:rsid w:val="0084677B"/>
    <w:rsid w:val="00850FB4"/>
    <w:rsid w:val="008513D8"/>
    <w:rsid w:val="008518A0"/>
    <w:rsid w:val="00853F2D"/>
    <w:rsid w:val="008542F6"/>
    <w:rsid w:val="00865914"/>
    <w:rsid w:val="00880DB1"/>
    <w:rsid w:val="00881BE0"/>
    <w:rsid w:val="00885AD5"/>
    <w:rsid w:val="008906F6"/>
    <w:rsid w:val="008A1E27"/>
    <w:rsid w:val="008B3629"/>
    <w:rsid w:val="008C3814"/>
    <w:rsid w:val="008C3AC1"/>
    <w:rsid w:val="008D2459"/>
    <w:rsid w:val="008D73DF"/>
    <w:rsid w:val="008E5346"/>
    <w:rsid w:val="008F254C"/>
    <w:rsid w:val="008F6B5E"/>
    <w:rsid w:val="009003C9"/>
    <w:rsid w:val="00902D0A"/>
    <w:rsid w:val="0090358B"/>
    <w:rsid w:val="00907E72"/>
    <w:rsid w:val="00912A6A"/>
    <w:rsid w:val="00920A21"/>
    <w:rsid w:val="00933477"/>
    <w:rsid w:val="009375AB"/>
    <w:rsid w:val="00940B2C"/>
    <w:rsid w:val="00956901"/>
    <w:rsid w:val="00956966"/>
    <w:rsid w:val="009734EC"/>
    <w:rsid w:val="009743FF"/>
    <w:rsid w:val="0097497C"/>
    <w:rsid w:val="00984D86"/>
    <w:rsid w:val="009A07CF"/>
    <w:rsid w:val="009A5E4E"/>
    <w:rsid w:val="009A6FE0"/>
    <w:rsid w:val="009C0923"/>
    <w:rsid w:val="009C4200"/>
    <w:rsid w:val="009D3EE9"/>
    <w:rsid w:val="009D4296"/>
    <w:rsid w:val="009D7E5A"/>
    <w:rsid w:val="009F06ED"/>
    <w:rsid w:val="009F79F6"/>
    <w:rsid w:val="00A032BE"/>
    <w:rsid w:val="00A06CA1"/>
    <w:rsid w:val="00A21A43"/>
    <w:rsid w:val="00A3207C"/>
    <w:rsid w:val="00A3346F"/>
    <w:rsid w:val="00A3413D"/>
    <w:rsid w:val="00A346AE"/>
    <w:rsid w:val="00A4111E"/>
    <w:rsid w:val="00A505B7"/>
    <w:rsid w:val="00A55606"/>
    <w:rsid w:val="00A65870"/>
    <w:rsid w:val="00A8001E"/>
    <w:rsid w:val="00A82A84"/>
    <w:rsid w:val="00A84F2F"/>
    <w:rsid w:val="00A939D6"/>
    <w:rsid w:val="00A952AB"/>
    <w:rsid w:val="00AA5C0F"/>
    <w:rsid w:val="00AC392F"/>
    <w:rsid w:val="00AD0683"/>
    <w:rsid w:val="00AD652E"/>
    <w:rsid w:val="00AD7675"/>
    <w:rsid w:val="00AE05C4"/>
    <w:rsid w:val="00AF5E58"/>
    <w:rsid w:val="00B01A42"/>
    <w:rsid w:val="00B10853"/>
    <w:rsid w:val="00B133E3"/>
    <w:rsid w:val="00B1509C"/>
    <w:rsid w:val="00B200FC"/>
    <w:rsid w:val="00B2574B"/>
    <w:rsid w:val="00B26761"/>
    <w:rsid w:val="00B27A76"/>
    <w:rsid w:val="00B3048A"/>
    <w:rsid w:val="00B43CDD"/>
    <w:rsid w:val="00B52538"/>
    <w:rsid w:val="00B560D2"/>
    <w:rsid w:val="00B70D61"/>
    <w:rsid w:val="00B92164"/>
    <w:rsid w:val="00BA2429"/>
    <w:rsid w:val="00BA2483"/>
    <w:rsid w:val="00BA2B54"/>
    <w:rsid w:val="00BA57A6"/>
    <w:rsid w:val="00BB5379"/>
    <w:rsid w:val="00BB6B2E"/>
    <w:rsid w:val="00BB7237"/>
    <w:rsid w:val="00BC45F2"/>
    <w:rsid w:val="00BD1B96"/>
    <w:rsid w:val="00BD1D3F"/>
    <w:rsid w:val="00BD7C2D"/>
    <w:rsid w:val="00BE4001"/>
    <w:rsid w:val="00C03D6F"/>
    <w:rsid w:val="00C04A43"/>
    <w:rsid w:val="00C11A3F"/>
    <w:rsid w:val="00C16E44"/>
    <w:rsid w:val="00C24BB8"/>
    <w:rsid w:val="00C327AA"/>
    <w:rsid w:val="00C32BC1"/>
    <w:rsid w:val="00C34C6B"/>
    <w:rsid w:val="00C41A50"/>
    <w:rsid w:val="00C41F03"/>
    <w:rsid w:val="00C513FB"/>
    <w:rsid w:val="00C514A0"/>
    <w:rsid w:val="00C717DD"/>
    <w:rsid w:val="00C71AA7"/>
    <w:rsid w:val="00C752C3"/>
    <w:rsid w:val="00C77591"/>
    <w:rsid w:val="00C93E4C"/>
    <w:rsid w:val="00CA1069"/>
    <w:rsid w:val="00CB3BBE"/>
    <w:rsid w:val="00CC1349"/>
    <w:rsid w:val="00CC153B"/>
    <w:rsid w:val="00CC265D"/>
    <w:rsid w:val="00CD2C8B"/>
    <w:rsid w:val="00CD32AD"/>
    <w:rsid w:val="00CD4C42"/>
    <w:rsid w:val="00CE0585"/>
    <w:rsid w:val="00CE33DD"/>
    <w:rsid w:val="00CE6C69"/>
    <w:rsid w:val="00CE6D84"/>
    <w:rsid w:val="00D06747"/>
    <w:rsid w:val="00D1011E"/>
    <w:rsid w:val="00D107C6"/>
    <w:rsid w:val="00D10A0A"/>
    <w:rsid w:val="00D13DF1"/>
    <w:rsid w:val="00D306A8"/>
    <w:rsid w:val="00D30789"/>
    <w:rsid w:val="00D37A01"/>
    <w:rsid w:val="00D43B38"/>
    <w:rsid w:val="00D462F8"/>
    <w:rsid w:val="00D5348F"/>
    <w:rsid w:val="00D55641"/>
    <w:rsid w:val="00D55DC0"/>
    <w:rsid w:val="00D671B8"/>
    <w:rsid w:val="00D84557"/>
    <w:rsid w:val="00D85511"/>
    <w:rsid w:val="00D86A40"/>
    <w:rsid w:val="00D91AB0"/>
    <w:rsid w:val="00D96F87"/>
    <w:rsid w:val="00DA2C73"/>
    <w:rsid w:val="00DB025A"/>
    <w:rsid w:val="00DB6A56"/>
    <w:rsid w:val="00DC7A9C"/>
    <w:rsid w:val="00DE1058"/>
    <w:rsid w:val="00DE1F70"/>
    <w:rsid w:val="00DE2E36"/>
    <w:rsid w:val="00DE7729"/>
    <w:rsid w:val="00DF0EC9"/>
    <w:rsid w:val="00DF2EA2"/>
    <w:rsid w:val="00E0252C"/>
    <w:rsid w:val="00E13D2B"/>
    <w:rsid w:val="00E16DC6"/>
    <w:rsid w:val="00E21388"/>
    <w:rsid w:val="00E2522F"/>
    <w:rsid w:val="00E3205E"/>
    <w:rsid w:val="00E33463"/>
    <w:rsid w:val="00E403F4"/>
    <w:rsid w:val="00E41A37"/>
    <w:rsid w:val="00E54C8F"/>
    <w:rsid w:val="00E649F4"/>
    <w:rsid w:val="00E66724"/>
    <w:rsid w:val="00E70133"/>
    <w:rsid w:val="00E84531"/>
    <w:rsid w:val="00E978EE"/>
    <w:rsid w:val="00EB4691"/>
    <w:rsid w:val="00EB47CC"/>
    <w:rsid w:val="00EB754A"/>
    <w:rsid w:val="00EC1C51"/>
    <w:rsid w:val="00EC42AF"/>
    <w:rsid w:val="00EC4E9A"/>
    <w:rsid w:val="00EC66E8"/>
    <w:rsid w:val="00ED211F"/>
    <w:rsid w:val="00ED4505"/>
    <w:rsid w:val="00F0126B"/>
    <w:rsid w:val="00F0682D"/>
    <w:rsid w:val="00F06B4F"/>
    <w:rsid w:val="00F16731"/>
    <w:rsid w:val="00F418B6"/>
    <w:rsid w:val="00F47EAE"/>
    <w:rsid w:val="00F562EC"/>
    <w:rsid w:val="00F658AB"/>
    <w:rsid w:val="00F716B2"/>
    <w:rsid w:val="00F729F9"/>
    <w:rsid w:val="00F77CE8"/>
    <w:rsid w:val="00F823F7"/>
    <w:rsid w:val="00F83114"/>
    <w:rsid w:val="00F9019B"/>
    <w:rsid w:val="00FA0000"/>
    <w:rsid w:val="00FB11EC"/>
    <w:rsid w:val="00FB3C58"/>
    <w:rsid w:val="00FB46C2"/>
    <w:rsid w:val="00FD0454"/>
    <w:rsid w:val="00FE0A96"/>
    <w:rsid w:val="00FE1020"/>
    <w:rsid w:val="00FE535E"/>
    <w:rsid w:val="00FF01A1"/>
    <w:rsid w:val="00FF4745"/>
    <w:rsid w:val="02D71B49"/>
    <w:rsid w:val="0874716F"/>
    <w:rsid w:val="1684156E"/>
    <w:rsid w:val="1E6B187D"/>
    <w:rsid w:val="2B5B7CAD"/>
    <w:rsid w:val="310B25D8"/>
    <w:rsid w:val="35B00E6D"/>
    <w:rsid w:val="468C6BCB"/>
    <w:rsid w:val="49BE4FFA"/>
    <w:rsid w:val="5499649D"/>
    <w:rsid w:val="55C94657"/>
    <w:rsid w:val="5B1128B0"/>
    <w:rsid w:val="78650950"/>
    <w:rsid w:val="7CD764C3"/>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9"/>
    <w:pPr>
      <w:keepNext/>
      <w:keepLines/>
      <w:spacing w:line="576" w:lineRule="auto"/>
      <w:outlineLvl w:val="0"/>
    </w:pPr>
    <w:rPr>
      <w:rFonts w:ascii="Times New Roman" w:hAnsi="Times New Roman"/>
      <w:b/>
      <w:kern w:val="44"/>
      <w:sz w:val="44"/>
      <w:szCs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Plain Text"/>
    <w:basedOn w:val="1"/>
    <w:link w:val="15"/>
    <w:qFormat/>
    <w:uiPriority w:val="99"/>
    <w:rPr>
      <w:rFonts w:ascii="宋体" w:hAnsi="Courier New" w:eastAsia="宋体" w:cs="Courier New"/>
      <w:szCs w:val="21"/>
    </w:rPr>
  </w:style>
  <w:style w:type="paragraph" w:styleId="4">
    <w:name w:val="Balloon Text"/>
    <w:basedOn w:val="1"/>
    <w:link w:val="16"/>
    <w:semiHidden/>
    <w:unhideWhenUsed/>
    <w:qFormat/>
    <w:uiPriority w:val="99"/>
    <w:rPr>
      <w:sz w:val="18"/>
      <w:szCs w:val="18"/>
    </w:rPr>
  </w:style>
  <w:style w:type="paragraph" w:styleId="5">
    <w:name w:val="footer"/>
    <w:basedOn w:val="1"/>
    <w:link w:val="13"/>
    <w:unhideWhenUsed/>
    <w:qFormat/>
    <w:uiPriority w:val="99"/>
    <w:pPr>
      <w:tabs>
        <w:tab w:val="center" w:pos="4153"/>
        <w:tab w:val="right" w:pos="8306"/>
      </w:tabs>
      <w:snapToGrid w:val="0"/>
      <w:jc w:val="left"/>
    </w:pPr>
    <w:rPr>
      <w:sz w:val="18"/>
      <w:szCs w:val="18"/>
    </w:rPr>
  </w:style>
  <w:style w:type="paragraph" w:styleId="6">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Hyperlink"/>
    <w:basedOn w:val="10"/>
    <w:unhideWhenUsed/>
    <w:qFormat/>
    <w:uiPriority w:val="99"/>
    <w:rPr>
      <w:color w:val="0563C1" w:themeColor="hyperlink"/>
      <w:u w:val="single"/>
    </w:rPr>
  </w:style>
  <w:style w:type="character" w:customStyle="1" w:styleId="12">
    <w:name w:val="页眉 Char"/>
    <w:basedOn w:val="10"/>
    <w:link w:val="6"/>
    <w:qFormat/>
    <w:uiPriority w:val="99"/>
    <w:rPr>
      <w:sz w:val="18"/>
      <w:szCs w:val="18"/>
    </w:rPr>
  </w:style>
  <w:style w:type="character" w:customStyle="1" w:styleId="13">
    <w:name w:val="页脚 Char"/>
    <w:basedOn w:val="10"/>
    <w:link w:val="5"/>
    <w:qFormat/>
    <w:uiPriority w:val="99"/>
    <w:rPr>
      <w:sz w:val="18"/>
      <w:szCs w:val="18"/>
    </w:rPr>
  </w:style>
  <w:style w:type="character" w:customStyle="1" w:styleId="14">
    <w:name w:val="未处理的提及1"/>
    <w:basedOn w:val="10"/>
    <w:semiHidden/>
    <w:unhideWhenUsed/>
    <w:qFormat/>
    <w:uiPriority w:val="99"/>
    <w:rPr>
      <w:color w:val="605E5C"/>
      <w:shd w:val="clear" w:color="auto" w:fill="E1DFDD"/>
    </w:rPr>
  </w:style>
  <w:style w:type="character" w:customStyle="1" w:styleId="15">
    <w:name w:val="纯文本 Char"/>
    <w:basedOn w:val="10"/>
    <w:link w:val="3"/>
    <w:qFormat/>
    <w:uiPriority w:val="99"/>
    <w:rPr>
      <w:rFonts w:ascii="宋体" w:hAnsi="Courier New" w:eastAsia="宋体" w:cs="Courier New"/>
      <w:szCs w:val="21"/>
    </w:rPr>
  </w:style>
  <w:style w:type="character" w:customStyle="1" w:styleId="16">
    <w:name w:val="批注框文本 Char"/>
    <w:basedOn w:val="10"/>
    <w:link w:val="4"/>
    <w:semiHidden/>
    <w:qFormat/>
    <w:uiPriority w:val="99"/>
    <w:rPr>
      <w:sz w:val="18"/>
      <w:szCs w:val="1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2274</Words>
  <Characters>2448</Characters>
  <Lines>18</Lines>
  <Paragraphs>5</Paragraphs>
  <TotalTime>4</TotalTime>
  <ScaleCrop>false</ScaleCrop>
  <LinksUpToDate>false</LinksUpToDate>
  <CharactersWithSpaces>2456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2023-03-31T02:44:00Z</dcterms:created>
  <dc:creator>微软用户</dc:creator>
  <cp:lastModifiedBy>宝宝</cp:lastModifiedBy>
  <cp:lastPrinted>2023-03-31T02:53:00Z</cp:lastPrinted>
  <dcterms:modified xsi:type="dcterms:W3CDTF">2025-10-17T06:55:34Z</dcterms:modified>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37CE5CD6F19A40D4A9C8E50EE852831B_13</vt:lpwstr>
  </property>
  <property fmtid="{D5CDD505-2E9C-101B-9397-08002B2CF9AE}" pid="4" name="KSOTemplateDocerSaveRecord">
    <vt:lpwstr>eyJoZGlkIjoiMTI0MjA5NTA1YTZlNDFiZGY5Y2QwNTFmMjliZWNlMzYiLCJ1c2VySWQiOiI0NTQyNjg2NjIifQ==</vt:lpwstr>
  </property>
</Properties>
</file>