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F7B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p w14:paraId="2983A5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4ACC9E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  <w:t>城发集团法律顾问服务采购竞争性磋商</w:t>
      </w:r>
    </w:p>
    <w:p w14:paraId="48E8A1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  <w:t>实施规则</w:t>
      </w:r>
      <w:bookmarkEnd w:id="0"/>
    </w:p>
    <w:p w14:paraId="4E7732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ascii="Times New Roman" w:hAnsi="Times New Roman"/>
          <w:sz w:val="32"/>
          <w:szCs w:val="32"/>
        </w:rPr>
      </w:pPr>
    </w:p>
    <w:p w14:paraId="6748491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一、总则</w:t>
      </w:r>
    </w:p>
    <w:p w14:paraId="084D4E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为规范连云港市赣榆城市建设发展集团有限公司（以下简称“城发集团”）法律顾问服务采购行为，严格参照政府采购竞争性磋商制度（财库〔2014〕214号）及国企采购管理规定，坚持公开透明、公平竞争、公正择优、诚实信用原则，结合本次两家律所分板块服务、驻点值守、绩效考评的采购特点，制定本全流程磋商规则，作为本次采购法定配套执行依据。</w:t>
      </w:r>
    </w:p>
    <w:p w14:paraId="21599A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二、磋商小组组成规则</w:t>
      </w:r>
    </w:p>
    <w:p w14:paraId="0E7E67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本次竞争性磋商设立专门磋商小组，成员为3人及以上单数，严格执行专家占比要求，外部评审专家人数不得少于磋商小组总人数的三分之二。</w:t>
      </w:r>
    </w:p>
    <w:p w14:paraId="5F6CBC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评审专家随机选取，具备法律、国资、采购相关专业评审能力，无利害关系、无利益冲突，全程签订评审廉洁承诺书、回避承诺书。</w:t>
      </w:r>
    </w:p>
    <w:p w14:paraId="61AE9C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磋商小组全权负责资格审查、磋商答疑、多轮磋商、最终评审、出具评审报告，独立履职、全程留痕。</w:t>
      </w:r>
    </w:p>
    <w:p w14:paraId="66713CF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三、完整磋商流程</w:t>
      </w:r>
    </w:p>
    <w:p w14:paraId="10DE8B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第一步：公告公示与报名受理</w:t>
      </w:r>
    </w:p>
    <w:p w14:paraId="60BCD7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依法公开采购公告、服务需求、评分细则、绩效规则、报名方式、截止时间、联系方式，充分保障市场主体知情权与参与权；按规定预留充足报名响应周期。由采购单位统一受理报名材料，司法局仅作备案指导，不参与评审决策。</w:t>
      </w:r>
    </w:p>
    <w:p w14:paraId="0AAC4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第二步：资格初审</w:t>
      </w:r>
    </w:p>
    <w:p w14:paraId="2EC446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磋商小组对照公告报名条件，对申报律所资质、执业年限、无违规记录、团队配置、利益冲突情况进行逐项审查，出具资格审查结果，确定入围磋商名单。</w:t>
      </w:r>
    </w:p>
    <w:p w14:paraId="50BC58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第三步：现场多轮磋商</w:t>
      </w:r>
    </w:p>
    <w:p w14:paraId="2CA474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采取多轮磋商机制，原则上开展1-2轮集中磋商。磋商小组针对服务方案、驻点值班安排、风险防控举措、团队稳定性、专项服务能力等内容，与各入围律所分别一对一磋商，逐项核实服务承诺、优化服务内容。磋商过程全程录音录像、书面记录存档。</w:t>
      </w:r>
    </w:p>
    <w:p w14:paraId="2589AA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第四步：综合评审打分</w:t>
      </w:r>
    </w:p>
    <w:p w14:paraId="532C79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磋商小组严格按照公开量化评分细则独立打分、汇总计分，按综合得分从高到低排序，择优确定2家成交候选律所及备选名单。</w:t>
      </w:r>
    </w:p>
    <w:p w14:paraId="09FABF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第五步：结果公示与异议处理</w:t>
      </w:r>
    </w:p>
    <w:p w14:paraId="50F1F0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评审结果对外公示，公示期不少于3个工作日，明确公示内容、异议受理渠道、投诉时限、答复流程。公示期内接受社会监督，对有效异议依法核查、书面答复，留存完整核查台账。</w:t>
      </w:r>
    </w:p>
    <w:p w14:paraId="6B5225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第六步：确认成交与签订合同</w:t>
      </w:r>
    </w:p>
    <w:p w14:paraId="1225D9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公示无异议后，正式确定成交单位，由城发集团依法签订服务合同，明确服务边界、驻点要求、绩效兑付、违约责任、续签限制等核心条款。</w:t>
      </w:r>
    </w:p>
    <w:p w14:paraId="3D53AE5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四、量化综合评分细则（满分100分）</w:t>
      </w:r>
    </w:p>
    <w:p w14:paraId="761057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本次采购采用综合评分法，兼顾服务能力、方案质量、履职保障，适配国企合规风控需求，具体评分标准如下：</w:t>
      </w:r>
    </w:p>
    <w:p w14:paraId="0238B7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  <w:t>（一）律所综合实力（20分）</w:t>
      </w:r>
    </w:p>
    <w:p w14:paraId="56653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律所正规存续、执业资质齐全，内部管理制度完善，得5分；制度不完善酌情扣分。</w:t>
      </w:r>
    </w:p>
    <w:p w14:paraId="76C8AC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近3年内无行政处罚、行业处分、失信记录，得5分；存在不良记录不得分。</w:t>
      </w:r>
    </w:p>
    <w:p w14:paraId="65E073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具备国企、企事业单位常年法律顾问服务业绩，每提供1项有效业绩得2分，最高10分。</w:t>
      </w:r>
    </w:p>
    <w:p w14:paraId="4DE956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  <w:t>（二）服务团队配置（30分）</w:t>
      </w:r>
    </w:p>
    <w:p w14:paraId="6C001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团队负责人执业年限5年以上，具备丰富商事、国资法律服务经验，得12分。</w:t>
      </w:r>
    </w:p>
    <w:p w14:paraId="3A198C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驻点律师执业年限1年以上，团队人员配置稳定、分工清晰，得10分。</w:t>
      </w:r>
    </w:p>
    <w:p w14:paraId="5A9A6B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团队成员具备投融资、合规建设、建工、国企风控等专项专长，适配城发集团业务需求，得8分。</w:t>
      </w:r>
    </w:p>
    <w:p w14:paraId="4FF000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  <w:t>（三）整体服务方案（40分）</w:t>
      </w:r>
    </w:p>
    <w:p w14:paraId="6BC33F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服务方案完整覆盖日常咨询、合同审核、法治培训、重大事项论证、纠纷处置、合规体系建设等全部采购内容，方案全面详实、针对性强，得16分。</w:t>
      </w:r>
    </w:p>
    <w:p w14:paraId="21FD73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驻点值班机制、日常响应机制、紧急事项处置机制健全，值守安排清晰可落地，得10分。</w:t>
      </w:r>
    </w:p>
    <w:p w14:paraId="7DB872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风险排查、政策研判、合规整改、案件代理保障措施完善，具备长效风控思维，得8分。</w:t>
      </w:r>
    </w:p>
    <w:p w14:paraId="1D017C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4. 服务创新、增值服务、团队保障措施到位，得6分。</w:t>
      </w:r>
    </w:p>
    <w:p w14:paraId="10939C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kern w:val="0"/>
          <w:sz w:val="32"/>
          <w:szCs w:val="32"/>
          <w:lang w:val="en-US" w:eastAsia="zh-CN" w:bidi="ar"/>
        </w:rPr>
        <w:t>（四）履约保障与服务承诺（10分）</w:t>
      </w:r>
    </w:p>
    <w:p w14:paraId="350E50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明确团队人员固定、无随意更换、驻点值守到位承诺，得4分。</w:t>
      </w:r>
    </w:p>
    <w:p w14:paraId="14D33B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明确服务响应时限、疑难事项会商机制、投诉整改机制，得3分。</w:t>
      </w:r>
    </w:p>
    <w:p w14:paraId="513AEF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明确违约追责、服务兜底保障条款，得3分。</w:t>
      </w:r>
    </w:p>
    <w:p w14:paraId="17A9C46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五、评审纪律与公示异议规则</w:t>
      </w:r>
    </w:p>
    <w:p w14:paraId="64EED4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1. 全体评审人员、工作人员严格遵守采购评审纪律，全程保密、独立履职，杜绝干预评审、人情评审。</w:t>
      </w:r>
    </w:p>
    <w:p w14:paraId="113D42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2. 全程留痕管理，所有评审材料、磋商记录、打分表、影像资料全部归档备查，接受审计、国资监督。</w:t>
      </w:r>
    </w:p>
    <w:p w14:paraId="6DB4A0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3. 异议投诉渠道：公示期内，参与供应商可实名提交书面异议，采购单位在3个工作日内完成核查并书面答复。</w:t>
      </w:r>
    </w:p>
    <w:p w14:paraId="0B3866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六、续签约束规则</w:t>
      </w:r>
    </w:p>
    <w:p w14:paraId="29F292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服务期满可协商顺延，单次顺延不超过1年，累计顺延不超过2次，达到续签上限必须重新组织竞争性磋商采购，杜绝以续签规避常态化采购程序。</w:t>
      </w:r>
    </w:p>
    <w:p w14:paraId="784643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B2349"/>
    <w:rsid w:val="9FFB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2026-09-14T14:54:00Z</dcterms:created>
  <dc:creator>勇攀高峰</dc:creator>
  <cp:lastModifiedBy>勇攀高峰</cp:lastModifiedBy>
  <dcterms:modified xsi:type="dcterms:W3CDTF">2026-09-14T14:54:49Z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5144C73F07FC185F139AA76A367B02B3_41</vt:lpwstr>
  </property>
</Properties>
</file>