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BF324">
      <w:pPr>
        <w:keepNext w:val="0"/>
        <w:keepLines w:val="0"/>
        <w:pageBreakBefore w:val="0"/>
        <w:widowControl w:val="0"/>
        <w:kinsoku/>
        <w:wordWrap/>
        <w:overflowPunct/>
        <w:topLinePunct w:val="0"/>
        <w:autoSpaceDE/>
        <w:autoSpaceDN/>
        <w:bidi w:val="0"/>
        <w:adjustRightInd/>
        <w:snapToGrid/>
        <w:spacing w:line="540" w:lineRule="exact"/>
        <w:ind w:left="0" w:leftChars="0" w:right="0" w:firstLine="0" w:firstLineChars="0"/>
        <w:jc w:val="left"/>
        <w:textAlignment w:val="auto"/>
        <w:rPr>
          <w:rFonts w:hint="default" w:ascii="Times New Roman" w:hAnsi="Times New Roman" w:eastAsia="黑体" w:cs="Times New Roman"/>
          <w:sz w:val="32"/>
          <w:szCs w:val="32"/>
          <w:lang w:val="en-US" w:eastAsia="zh-CN"/>
        </w:rPr>
      </w:pPr>
      <w:bookmarkStart w:id="0" w:name="_Toc204016716"/>
      <w:r>
        <w:rPr>
          <w:rFonts w:hint="default" w:ascii="Times New Roman" w:hAnsi="Times New Roman" w:eastAsia="黑体" w:cs="Times New Roman"/>
          <w:sz w:val="32"/>
          <w:szCs w:val="32"/>
          <w:lang w:val="en-US" w:eastAsia="zh-CN"/>
        </w:rPr>
        <w:t>附件</w:t>
      </w:r>
      <w:bookmarkStart w:id="2" w:name="_GoBack"/>
      <w:bookmarkEnd w:id="2"/>
    </w:p>
    <w:p w14:paraId="0106B02A">
      <w:pPr>
        <w:keepNext w:val="0"/>
        <w:keepLines w:val="0"/>
        <w:pageBreakBefore w:val="0"/>
        <w:widowControl w:val="0"/>
        <w:kinsoku/>
        <w:wordWrap/>
        <w:overflowPunct/>
        <w:topLinePunct w:val="0"/>
        <w:autoSpaceDE/>
        <w:autoSpaceDN/>
        <w:bidi w:val="0"/>
        <w:adjustRightInd/>
        <w:snapToGrid/>
        <w:spacing w:line="600" w:lineRule="exact"/>
        <w:ind w:left="0" w:leftChars="0" w:right="0"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关于</w:t>
      </w:r>
      <w:r>
        <w:rPr>
          <w:rFonts w:hint="default" w:ascii="Times New Roman" w:hAnsi="Times New Roman" w:eastAsia="方正小标宋_GBK" w:cs="Times New Roman"/>
          <w:sz w:val="44"/>
          <w:szCs w:val="44"/>
        </w:rPr>
        <w:t>赣榆区SM320707-2026-00</w:t>
      </w:r>
      <w:r>
        <w:rPr>
          <w:rFonts w:hint="default" w:ascii="Times New Roman" w:hAnsi="Times New Roman" w:eastAsia="方正小标宋_GBK" w:cs="Times New Roman"/>
          <w:sz w:val="44"/>
          <w:szCs w:val="44"/>
          <w:lang w:val="en-US" w:eastAsia="zh-CN"/>
        </w:rPr>
        <w:t>2</w:t>
      </w:r>
      <w:r>
        <w:rPr>
          <w:rFonts w:hint="default" w:ascii="Times New Roman" w:hAnsi="Times New Roman" w:eastAsia="方正小标宋_GBK" w:cs="Times New Roman"/>
          <w:sz w:val="44"/>
          <w:szCs w:val="44"/>
        </w:rPr>
        <w:t>号</w:t>
      </w:r>
      <w:r>
        <w:rPr>
          <w:rFonts w:hint="default"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rPr>
        <w:t>石桥镇新宅1号片区</w:t>
      </w:r>
      <w:r>
        <w:rPr>
          <w:rFonts w:hint="default"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rPr>
        <w:t>土地征收成片开发符合公共利益情况的说明</w:t>
      </w:r>
    </w:p>
    <w:bookmarkEnd w:id="0"/>
    <w:p w14:paraId="55E8AE2F">
      <w:pPr>
        <w:numPr>
          <w:ilvl w:val="0"/>
          <w:numId w:val="0"/>
        </w:numPr>
        <w:ind w:leftChars="0"/>
        <w:outlineLvl w:val="0"/>
        <w:rPr>
          <w:rFonts w:hint="default" w:ascii="Times New Roman" w:hAnsi="Times New Roman" w:eastAsia="黑体" w:cs="Times New Roman"/>
          <w:sz w:val="32"/>
          <w:szCs w:val="32"/>
        </w:rPr>
      </w:pPr>
    </w:p>
    <w:p w14:paraId="1922AF34">
      <w:pPr>
        <w:numPr>
          <w:ilvl w:val="0"/>
          <w:numId w:val="0"/>
        </w:numPr>
        <w:ind w:leftChars="0" w:firstLine="640" w:firstLineChars="2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成片开发范围基本情况</w:t>
      </w:r>
      <w:bookmarkStart w:id="1" w:name="_Toc204016717"/>
    </w:p>
    <w:p w14:paraId="1553D44E">
      <w:pPr>
        <w:numPr>
          <w:ilvl w:val="0"/>
          <w:numId w:val="0"/>
        </w:numPr>
        <w:ind w:leftChars="0" w:firstLine="643" w:firstLineChars="200"/>
        <w:outlineLvl w:val="0"/>
        <w:rPr>
          <w:rFonts w:hint="default" w:ascii="Times New Roman" w:hAnsi="Times New Roman" w:eastAsia="仿宋_GB2312" w:cs="Times New Roman"/>
          <w:b/>
          <w:kern w:val="0"/>
          <w:sz w:val="32"/>
          <w:szCs w:val="32"/>
          <w:lang w:bidi="ar"/>
        </w:rPr>
      </w:pPr>
      <w:r>
        <w:rPr>
          <w:rFonts w:hint="default" w:ascii="Times New Roman" w:hAnsi="Times New Roman" w:eastAsia="仿宋_GB2312" w:cs="Times New Roman"/>
          <w:b/>
          <w:kern w:val="0"/>
          <w:sz w:val="32"/>
          <w:szCs w:val="32"/>
          <w:lang w:bidi="ar"/>
        </w:rPr>
        <w:t>（一）</w:t>
      </w:r>
      <w:bookmarkEnd w:id="1"/>
      <w:r>
        <w:rPr>
          <w:rFonts w:hint="default" w:ascii="Times New Roman" w:hAnsi="Times New Roman" w:eastAsia="仿宋_GB2312" w:cs="Times New Roman"/>
          <w:b/>
          <w:kern w:val="0"/>
          <w:sz w:val="32"/>
          <w:szCs w:val="32"/>
          <w:lang w:bidi="ar"/>
        </w:rPr>
        <w:t>土地开发利用现状</w:t>
      </w:r>
    </w:p>
    <w:p w14:paraId="78C581E4">
      <w:pPr>
        <w:spacing w:line="580" w:lineRule="exact"/>
        <w:ind w:firstLine="600"/>
        <w:jc w:val="both"/>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eastAsia="zh-CN"/>
        </w:rPr>
        <w:t>（</w:t>
      </w:r>
      <w:r>
        <w:rPr>
          <w:rFonts w:hint="default" w:ascii="Times New Roman" w:hAnsi="Times New Roman" w:eastAsia="仿宋_GB2312" w:cs="Times New Roman"/>
          <w:b/>
          <w:bCs/>
          <w:sz w:val="30"/>
          <w:szCs w:val="30"/>
          <w:lang w:val="en-US" w:eastAsia="zh-CN"/>
        </w:rPr>
        <w:t>1</w:t>
      </w:r>
      <w:r>
        <w:rPr>
          <w:rFonts w:hint="default" w:ascii="Times New Roman" w:hAnsi="Times New Roman" w:eastAsia="仿宋_GB2312" w:cs="Times New Roman"/>
          <w:b/>
          <w:bCs/>
          <w:sz w:val="30"/>
          <w:szCs w:val="30"/>
          <w:lang w:eastAsia="zh-CN"/>
        </w:rPr>
        <w:t>）</w:t>
      </w:r>
      <w:r>
        <w:rPr>
          <w:rFonts w:hint="default" w:ascii="Times New Roman" w:hAnsi="Times New Roman" w:eastAsia="仿宋_GB2312" w:cs="Times New Roman"/>
          <w:b/>
          <w:bCs/>
          <w:sz w:val="30"/>
          <w:szCs w:val="30"/>
          <w:lang w:val="en-US" w:eastAsia="zh-CN"/>
        </w:rPr>
        <w:t>成片开发范围</w:t>
      </w:r>
    </w:p>
    <w:p w14:paraId="1AEE81BE">
      <w:pPr>
        <w:spacing w:line="580" w:lineRule="exact"/>
        <w:ind w:firstLine="60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石桥镇新宅1号片区（赣榆区SM320707-2026-002号）</w:t>
      </w:r>
      <w:r>
        <w:rPr>
          <w:rFonts w:hint="default" w:ascii="Times New Roman" w:hAnsi="Times New Roman" w:eastAsia="仿宋_GB2312" w:cs="Times New Roman"/>
          <w:sz w:val="30"/>
          <w:szCs w:val="30"/>
        </w:rPr>
        <w:t>位于</w:t>
      </w:r>
      <w:r>
        <w:rPr>
          <w:rFonts w:hint="default" w:ascii="Times New Roman" w:hAnsi="Times New Roman" w:eastAsia="仿宋_GB2312" w:cs="Times New Roman"/>
          <w:sz w:val="30"/>
          <w:szCs w:val="30"/>
          <w:lang w:val="en-US" w:eastAsia="zh-CN"/>
        </w:rPr>
        <w:t>石桥镇</w:t>
      </w:r>
      <w:r>
        <w:rPr>
          <w:rFonts w:hint="default" w:ascii="Times New Roman" w:hAnsi="Times New Roman" w:eastAsia="仿宋_GB2312" w:cs="Times New Roman"/>
          <w:sz w:val="30"/>
          <w:szCs w:val="30"/>
        </w:rPr>
        <w:t>，涉及白石头村</w:t>
      </w:r>
      <w:r>
        <w:rPr>
          <w:rFonts w:hint="default" w:ascii="Times New Roman" w:hAnsi="Times New Roman" w:eastAsia="仿宋_GB2312" w:cs="Times New Roman"/>
          <w:sz w:val="30"/>
          <w:szCs w:val="30"/>
          <w:lang w:val="en-US" w:eastAsia="zh-CN"/>
        </w:rPr>
        <w:t>和</w:t>
      </w:r>
      <w:r>
        <w:rPr>
          <w:rFonts w:hint="default" w:ascii="Times New Roman" w:hAnsi="Times New Roman" w:eastAsia="仿宋_GB2312" w:cs="Times New Roman"/>
          <w:sz w:val="30"/>
          <w:szCs w:val="30"/>
        </w:rPr>
        <w:t>柳树底村，北至望海西路，南至石林公路，东至204国道，西至站前北路，总面积为15.5835公顷。</w:t>
      </w:r>
    </w:p>
    <w:p w14:paraId="3B8B6819">
      <w:pPr>
        <w:ind w:firstLine="0" w:firstLineChars="0"/>
        <w:jc w:val="center"/>
        <w:rPr>
          <w:rFonts w:hint="default" w:ascii="Times New Roman" w:hAnsi="Times New Roman" w:eastAsia="仿宋_GB2312" w:cs="Times New Roman"/>
          <w:b/>
          <w:kern w:val="0"/>
          <w:sz w:val="30"/>
          <w:szCs w:val="30"/>
          <w:lang w:bidi="ar"/>
        </w:rPr>
      </w:pPr>
      <w:r>
        <w:rPr>
          <w:rFonts w:hint="default" w:ascii="Times New Roman" w:hAnsi="Times New Roman" w:eastAsia="仿宋_GB2312" w:cs="Times New Roman"/>
          <w:b/>
          <w:kern w:val="0"/>
          <w:sz w:val="30"/>
          <w:szCs w:val="30"/>
        </w:rPr>
        <w:drawing>
          <wp:inline distT="0" distB="0" distL="114300" distR="114300">
            <wp:extent cx="5270500" cy="3727450"/>
            <wp:effectExtent l="0" t="0" r="6350" b="6350"/>
            <wp:docPr id="9" name="图片 9" descr="C:/Users/Administrator/Desktop/赣榆成片开发.jpg赣榆成片开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赣榆成片开发.jpg赣榆成片开发"/>
                    <pic:cNvPicPr>
                      <a:picLocks noChangeAspect="1"/>
                    </pic:cNvPicPr>
                  </pic:nvPicPr>
                  <pic:blipFill>
                    <a:blip r:embed="rId7"/>
                    <a:srcRect t="30" b="30"/>
                    <a:stretch>
                      <a:fillRect/>
                    </a:stretch>
                  </pic:blipFill>
                  <pic:spPr>
                    <a:xfrm>
                      <a:off x="0" y="0"/>
                      <a:ext cx="5270500" cy="3727450"/>
                    </a:xfrm>
                    <a:prstGeom prst="rect">
                      <a:avLst/>
                    </a:prstGeom>
                    <a:noFill/>
                    <a:ln>
                      <a:noFill/>
                    </a:ln>
                  </pic:spPr>
                </pic:pic>
              </a:graphicData>
            </a:graphic>
          </wp:inline>
        </w:drawing>
      </w:r>
    </w:p>
    <w:p w14:paraId="72BBA80A">
      <w:pPr>
        <w:ind w:firstLine="0" w:firstLineChars="0"/>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片区范围示意图</w:t>
      </w:r>
    </w:p>
    <w:p w14:paraId="7CE3B23D">
      <w:pPr>
        <w:ind w:firstLine="482"/>
        <w:jc w:val="center"/>
        <w:rPr>
          <w:rFonts w:hint="default" w:ascii="Times New Roman" w:hAnsi="Times New Roman" w:eastAsia="仿宋_GB2312" w:cs="Times New Roman"/>
          <w:b/>
          <w:bCs/>
          <w:sz w:val="24"/>
        </w:rPr>
        <w:sectPr>
          <w:headerReference r:id="rId3" w:type="default"/>
          <w:pgSz w:w="11906" w:h="16838"/>
          <w:pgMar w:top="1440" w:right="1800" w:bottom="1440" w:left="1800" w:header="851" w:footer="992" w:gutter="0"/>
          <w:cols w:space="720" w:num="1"/>
          <w:docGrid w:type="lines" w:linePitch="312" w:charSpace="0"/>
        </w:sectPr>
      </w:pPr>
    </w:p>
    <w:p w14:paraId="3B882670">
      <w:pPr>
        <w:spacing w:line="580" w:lineRule="exact"/>
        <w:ind w:firstLine="600"/>
        <w:jc w:val="both"/>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eastAsia="zh-CN"/>
        </w:rPr>
        <w:t>（</w:t>
      </w:r>
      <w:r>
        <w:rPr>
          <w:rFonts w:hint="default" w:ascii="Times New Roman" w:hAnsi="Times New Roman" w:eastAsia="仿宋_GB2312" w:cs="Times New Roman"/>
          <w:b/>
          <w:bCs/>
          <w:sz w:val="30"/>
          <w:szCs w:val="30"/>
          <w:lang w:val="en-US" w:eastAsia="zh-CN"/>
        </w:rPr>
        <w:t>2</w:t>
      </w:r>
      <w:r>
        <w:rPr>
          <w:rFonts w:hint="default" w:ascii="Times New Roman" w:hAnsi="Times New Roman" w:eastAsia="仿宋_GB2312" w:cs="Times New Roman"/>
          <w:b/>
          <w:bCs/>
          <w:sz w:val="30"/>
          <w:szCs w:val="30"/>
          <w:lang w:eastAsia="zh-CN"/>
        </w:rPr>
        <w:t>）</w:t>
      </w:r>
      <w:r>
        <w:rPr>
          <w:rFonts w:hint="default" w:ascii="Times New Roman" w:hAnsi="Times New Roman" w:eastAsia="仿宋_GB2312" w:cs="Times New Roman"/>
          <w:b/>
          <w:bCs/>
          <w:sz w:val="30"/>
          <w:szCs w:val="30"/>
          <w:lang w:val="en-US" w:eastAsia="zh-CN"/>
        </w:rPr>
        <w:t>片区土地利用现状</w:t>
      </w:r>
    </w:p>
    <w:p w14:paraId="56982D5E">
      <w:pPr>
        <w:ind w:firstLine="60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石桥镇新宅1号片区</w:t>
      </w:r>
      <w:r>
        <w:rPr>
          <w:rFonts w:hint="default" w:ascii="Times New Roman" w:hAnsi="Times New Roman" w:eastAsia="仿宋_GB2312" w:cs="Times New Roman"/>
          <w:sz w:val="30"/>
          <w:szCs w:val="30"/>
        </w:rPr>
        <w:t>土地总面积为</w:t>
      </w:r>
      <w:r>
        <w:rPr>
          <w:rFonts w:hint="default" w:ascii="Times New Roman" w:hAnsi="Times New Roman" w:eastAsia="仿宋_GB2312" w:cs="Times New Roman"/>
          <w:sz w:val="30"/>
          <w:szCs w:val="30"/>
          <w:lang w:eastAsia="zh-CN"/>
        </w:rPr>
        <w:t>15.5835</w:t>
      </w:r>
      <w:r>
        <w:rPr>
          <w:rFonts w:hint="default" w:ascii="Times New Roman" w:hAnsi="Times New Roman" w:eastAsia="仿宋_GB2312" w:cs="Times New Roman"/>
          <w:sz w:val="30"/>
          <w:szCs w:val="30"/>
        </w:rPr>
        <w:t>公顷，根据</w:t>
      </w:r>
      <w:r>
        <w:rPr>
          <w:rFonts w:hint="default" w:ascii="Times New Roman" w:hAnsi="Times New Roman" w:eastAsia="仿宋_GB2312" w:cs="Times New Roman"/>
          <w:sz w:val="30"/>
          <w:szCs w:val="30"/>
          <w:lang w:val="en-US" w:eastAsia="zh-CN"/>
        </w:rPr>
        <w:t>赣榆区</w:t>
      </w:r>
      <w:r>
        <w:rPr>
          <w:rFonts w:hint="default" w:ascii="Times New Roman" w:hAnsi="Times New Roman" w:eastAsia="仿宋_GB2312" w:cs="Times New Roman"/>
          <w:sz w:val="30"/>
          <w:szCs w:val="30"/>
        </w:rPr>
        <w:t>202</w:t>
      </w:r>
      <w:r>
        <w:rPr>
          <w:rFonts w:hint="default" w:ascii="Times New Roman" w:hAnsi="Times New Roman" w:eastAsia="仿宋_GB2312" w:cs="Times New Roman"/>
          <w:sz w:val="30"/>
          <w:szCs w:val="30"/>
          <w:lang w:val="en-US" w:eastAsia="zh-CN"/>
        </w:rPr>
        <w:t>4</w:t>
      </w:r>
      <w:r>
        <w:rPr>
          <w:rFonts w:hint="default" w:ascii="Times New Roman" w:hAnsi="Times New Roman" w:eastAsia="仿宋_GB2312" w:cs="Times New Roman"/>
          <w:sz w:val="30"/>
          <w:szCs w:val="30"/>
        </w:rPr>
        <w:t>年度国土变更调查成果分析，其中：农用地面积为3</w:t>
      </w:r>
      <w:r>
        <w:rPr>
          <w:rFonts w:hint="default"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rPr>
        <w:t>610</w:t>
      </w:r>
      <w:r>
        <w:rPr>
          <w:rFonts w:hint="default" w:ascii="Times New Roman" w:hAnsi="Times New Roman" w:eastAsia="仿宋_GB2312" w:cs="Times New Roman"/>
          <w:sz w:val="30"/>
          <w:szCs w:val="30"/>
          <w:lang w:val="en-US" w:eastAsia="zh-CN"/>
        </w:rPr>
        <w:t>9</w:t>
      </w:r>
      <w:r>
        <w:rPr>
          <w:rFonts w:hint="default" w:ascii="Times New Roman" w:hAnsi="Times New Roman" w:eastAsia="仿宋_GB2312" w:cs="Times New Roman"/>
          <w:sz w:val="30"/>
          <w:szCs w:val="30"/>
        </w:rPr>
        <w:t>公顷，占土地总面积的</w:t>
      </w:r>
      <w:r>
        <w:rPr>
          <w:rFonts w:hint="default" w:ascii="Times New Roman" w:hAnsi="Times New Roman" w:eastAsia="仿宋_GB2312" w:cs="Times New Roman"/>
          <w:sz w:val="30"/>
          <w:szCs w:val="30"/>
          <w:lang w:val="en-US" w:eastAsia="zh-CN"/>
        </w:rPr>
        <w:t>23.17</w:t>
      </w:r>
      <w:r>
        <w:rPr>
          <w:rFonts w:hint="default" w:ascii="Times New Roman" w:hAnsi="Times New Roman" w:eastAsia="仿宋_GB2312" w:cs="Times New Roman"/>
          <w:sz w:val="30"/>
          <w:szCs w:val="30"/>
        </w:rPr>
        <w:t>%；建设用地面积为</w:t>
      </w:r>
      <w:r>
        <w:rPr>
          <w:rFonts w:hint="default" w:ascii="Times New Roman" w:hAnsi="Times New Roman" w:eastAsia="仿宋_GB2312" w:cs="Times New Roman"/>
          <w:sz w:val="30"/>
          <w:szCs w:val="30"/>
          <w:lang w:val="en-US" w:eastAsia="zh-CN"/>
        </w:rPr>
        <w:t>11.9726</w:t>
      </w:r>
      <w:r>
        <w:rPr>
          <w:rFonts w:hint="default" w:ascii="Times New Roman" w:hAnsi="Times New Roman" w:eastAsia="仿宋_GB2312" w:cs="Times New Roman"/>
          <w:sz w:val="30"/>
          <w:szCs w:val="30"/>
        </w:rPr>
        <w:t>公顷，占土地总面积的</w:t>
      </w:r>
      <w:r>
        <w:rPr>
          <w:rFonts w:hint="default" w:ascii="Times New Roman" w:hAnsi="Times New Roman" w:eastAsia="仿宋_GB2312" w:cs="Times New Roman"/>
          <w:sz w:val="30"/>
          <w:szCs w:val="30"/>
          <w:lang w:val="en-US" w:eastAsia="zh-CN"/>
        </w:rPr>
        <w:t>76.83</w:t>
      </w:r>
      <w:r>
        <w:rPr>
          <w:rFonts w:hint="default" w:ascii="Times New Roman" w:hAnsi="Times New Roman" w:eastAsia="仿宋_GB2312" w:cs="Times New Roman"/>
          <w:sz w:val="30"/>
          <w:szCs w:val="30"/>
        </w:rPr>
        <w:t>%；</w:t>
      </w:r>
      <w:r>
        <w:rPr>
          <w:rFonts w:hint="default" w:ascii="Times New Roman" w:hAnsi="Times New Roman" w:eastAsia="仿宋_GB2312" w:cs="Times New Roman"/>
          <w:sz w:val="30"/>
          <w:szCs w:val="30"/>
          <w:lang w:val="en-US" w:eastAsia="zh-CN"/>
        </w:rPr>
        <w:t>不涉及</w:t>
      </w:r>
      <w:r>
        <w:rPr>
          <w:rFonts w:hint="default" w:ascii="Times New Roman" w:hAnsi="Times New Roman" w:eastAsia="仿宋_GB2312" w:cs="Times New Roman"/>
          <w:sz w:val="30"/>
          <w:szCs w:val="30"/>
        </w:rPr>
        <w:t>未利用地。</w:t>
      </w:r>
    </w:p>
    <w:p w14:paraId="58AB5CDF">
      <w:pPr>
        <w:ind w:firstLine="600"/>
        <w:jc w:val="center"/>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4"/>
          <w:szCs w:val="24"/>
          <w:lang w:val="en-US" w:eastAsia="zh-CN"/>
        </w:rPr>
        <w:t>片区土地利用现状表</w:t>
      </w:r>
    </w:p>
    <w:p w14:paraId="66B1060A">
      <w:pPr>
        <w:ind w:firstLine="600"/>
        <w:jc w:val="right"/>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单位：公顷，%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5B89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gridSpan w:val="2"/>
            <w:vAlign w:val="center"/>
          </w:tcPr>
          <w:p w14:paraId="5C04C1CA">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地类</w:t>
            </w:r>
          </w:p>
        </w:tc>
        <w:tc>
          <w:tcPr>
            <w:tcW w:w="1704" w:type="dxa"/>
            <w:vAlign w:val="center"/>
          </w:tcPr>
          <w:p w14:paraId="5A4F5F06">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面积</w:t>
            </w:r>
          </w:p>
        </w:tc>
        <w:tc>
          <w:tcPr>
            <w:tcW w:w="1705" w:type="dxa"/>
            <w:vAlign w:val="center"/>
          </w:tcPr>
          <w:p w14:paraId="39CC650C">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小计</w:t>
            </w:r>
          </w:p>
        </w:tc>
        <w:tc>
          <w:tcPr>
            <w:tcW w:w="1705" w:type="dxa"/>
            <w:vAlign w:val="center"/>
          </w:tcPr>
          <w:p w14:paraId="706A962D">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占比</w:t>
            </w:r>
          </w:p>
        </w:tc>
      </w:tr>
      <w:tr w14:paraId="1F5D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restart"/>
            <w:vAlign w:val="center"/>
          </w:tcPr>
          <w:p w14:paraId="4938D19C">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农用地</w:t>
            </w:r>
          </w:p>
        </w:tc>
        <w:tc>
          <w:tcPr>
            <w:tcW w:w="1704" w:type="dxa"/>
            <w:vAlign w:val="center"/>
          </w:tcPr>
          <w:p w14:paraId="6AB2B3C8">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耕地</w:t>
            </w:r>
          </w:p>
        </w:tc>
        <w:tc>
          <w:tcPr>
            <w:tcW w:w="1704" w:type="dxa"/>
            <w:vAlign w:val="center"/>
          </w:tcPr>
          <w:p w14:paraId="0E00930D">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2.0858</w:t>
            </w:r>
          </w:p>
        </w:tc>
        <w:tc>
          <w:tcPr>
            <w:tcW w:w="1705" w:type="dxa"/>
            <w:vMerge w:val="restart"/>
            <w:vAlign w:val="center"/>
          </w:tcPr>
          <w:p w14:paraId="73ED0FFD">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3.6109</w:t>
            </w:r>
          </w:p>
        </w:tc>
        <w:tc>
          <w:tcPr>
            <w:tcW w:w="1705" w:type="dxa"/>
            <w:vMerge w:val="restart"/>
            <w:vAlign w:val="center"/>
          </w:tcPr>
          <w:p w14:paraId="1E0658AA">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23.17</w:t>
            </w:r>
          </w:p>
        </w:tc>
      </w:tr>
      <w:tr w14:paraId="4191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vAlign w:val="center"/>
          </w:tcPr>
          <w:p w14:paraId="7BA8E6EC">
            <w:pPr>
              <w:widowControl w:val="0"/>
              <w:jc w:val="center"/>
              <w:rPr>
                <w:rFonts w:hint="default" w:ascii="Times New Roman" w:hAnsi="Times New Roman" w:eastAsia="仿宋_GB2312" w:cs="Times New Roman"/>
                <w:b w:val="0"/>
                <w:bCs w:val="0"/>
                <w:sz w:val="24"/>
                <w:szCs w:val="24"/>
                <w:vertAlign w:val="baseline"/>
                <w:lang w:val="en-US" w:eastAsia="zh-CN"/>
              </w:rPr>
            </w:pPr>
          </w:p>
        </w:tc>
        <w:tc>
          <w:tcPr>
            <w:tcW w:w="1704" w:type="dxa"/>
            <w:vAlign w:val="center"/>
          </w:tcPr>
          <w:p w14:paraId="733C7458">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林地</w:t>
            </w:r>
          </w:p>
        </w:tc>
        <w:tc>
          <w:tcPr>
            <w:tcW w:w="1704" w:type="dxa"/>
            <w:vAlign w:val="center"/>
          </w:tcPr>
          <w:p w14:paraId="631A4EB0">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1.2127</w:t>
            </w:r>
          </w:p>
        </w:tc>
        <w:tc>
          <w:tcPr>
            <w:tcW w:w="1705" w:type="dxa"/>
            <w:vMerge w:val="continue"/>
            <w:vAlign w:val="center"/>
          </w:tcPr>
          <w:p w14:paraId="3E7AA7E2">
            <w:pPr>
              <w:widowControl w:val="0"/>
              <w:jc w:val="both"/>
              <w:rPr>
                <w:rFonts w:hint="default" w:ascii="Times New Roman" w:hAnsi="Times New Roman" w:eastAsia="仿宋_GB2312" w:cs="Times New Roman"/>
                <w:b w:val="0"/>
                <w:bCs w:val="0"/>
                <w:sz w:val="24"/>
                <w:szCs w:val="24"/>
                <w:vertAlign w:val="baseline"/>
                <w:lang w:val="en-US" w:eastAsia="zh-CN"/>
              </w:rPr>
            </w:pPr>
          </w:p>
        </w:tc>
        <w:tc>
          <w:tcPr>
            <w:tcW w:w="1705" w:type="dxa"/>
            <w:vMerge w:val="continue"/>
            <w:vAlign w:val="center"/>
          </w:tcPr>
          <w:p w14:paraId="36969A8D">
            <w:pPr>
              <w:widowControl w:val="0"/>
              <w:jc w:val="both"/>
              <w:rPr>
                <w:rFonts w:hint="default" w:ascii="Times New Roman" w:hAnsi="Times New Roman" w:eastAsia="仿宋_GB2312" w:cs="Times New Roman"/>
                <w:b w:val="0"/>
                <w:bCs w:val="0"/>
                <w:sz w:val="24"/>
                <w:szCs w:val="24"/>
                <w:vertAlign w:val="baseline"/>
                <w:lang w:val="en-US" w:eastAsia="zh-CN"/>
              </w:rPr>
            </w:pPr>
          </w:p>
        </w:tc>
      </w:tr>
      <w:tr w14:paraId="211E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vAlign w:val="center"/>
          </w:tcPr>
          <w:p w14:paraId="42CEEE2B">
            <w:pPr>
              <w:widowControl w:val="0"/>
              <w:jc w:val="center"/>
              <w:rPr>
                <w:rFonts w:hint="default" w:ascii="Times New Roman" w:hAnsi="Times New Roman" w:eastAsia="仿宋_GB2312" w:cs="Times New Roman"/>
                <w:b w:val="0"/>
                <w:bCs w:val="0"/>
                <w:sz w:val="24"/>
                <w:szCs w:val="24"/>
                <w:vertAlign w:val="baseline"/>
                <w:lang w:val="en-US" w:eastAsia="zh-CN"/>
              </w:rPr>
            </w:pPr>
          </w:p>
        </w:tc>
        <w:tc>
          <w:tcPr>
            <w:tcW w:w="1704" w:type="dxa"/>
            <w:vAlign w:val="center"/>
          </w:tcPr>
          <w:p w14:paraId="671565A0">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其他农用地</w:t>
            </w:r>
          </w:p>
        </w:tc>
        <w:tc>
          <w:tcPr>
            <w:tcW w:w="1704" w:type="dxa"/>
            <w:vAlign w:val="center"/>
          </w:tcPr>
          <w:p w14:paraId="01FBF13D">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0.3124</w:t>
            </w:r>
          </w:p>
        </w:tc>
        <w:tc>
          <w:tcPr>
            <w:tcW w:w="1705" w:type="dxa"/>
            <w:vMerge w:val="continue"/>
            <w:vAlign w:val="center"/>
          </w:tcPr>
          <w:p w14:paraId="0C5DDCD8">
            <w:pPr>
              <w:widowControl w:val="0"/>
              <w:jc w:val="both"/>
              <w:rPr>
                <w:rFonts w:hint="default" w:ascii="Times New Roman" w:hAnsi="Times New Roman" w:eastAsia="仿宋_GB2312" w:cs="Times New Roman"/>
                <w:b w:val="0"/>
                <w:bCs w:val="0"/>
                <w:sz w:val="24"/>
                <w:szCs w:val="24"/>
                <w:vertAlign w:val="baseline"/>
                <w:lang w:val="en-US" w:eastAsia="zh-CN"/>
              </w:rPr>
            </w:pPr>
          </w:p>
        </w:tc>
        <w:tc>
          <w:tcPr>
            <w:tcW w:w="1705" w:type="dxa"/>
            <w:vMerge w:val="continue"/>
            <w:vAlign w:val="center"/>
          </w:tcPr>
          <w:p w14:paraId="74FE60F6">
            <w:pPr>
              <w:widowControl w:val="0"/>
              <w:jc w:val="both"/>
              <w:rPr>
                <w:rFonts w:hint="default" w:ascii="Times New Roman" w:hAnsi="Times New Roman" w:eastAsia="仿宋_GB2312" w:cs="Times New Roman"/>
                <w:b w:val="0"/>
                <w:bCs w:val="0"/>
                <w:sz w:val="24"/>
                <w:szCs w:val="24"/>
                <w:vertAlign w:val="baseline"/>
                <w:lang w:val="en-US" w:eastAsia="zh-CN"/>
              </w:rPr>
            </w:pPr>
          </w:p>
        </w:tc>
      </w:tr>
      <w:tr w14:paraId="240A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restart"/>
            <w:vAlign w:val="center"/>
          </w:tcPr>
          <w:p w14:paraId="4E2D0E77">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建设用地</w:t>
            </w:r>
          </w:p>
        </w:tc>
        <w:tc>
          <w:tcPr>
            <w:tcW w:w="1704" w:type="dxa"/>
            <w:vAlign w:val="center"/>
          </w:tcPr>
          <w:p w14:paraId="2999AA1C">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工矿用地</w:t>
            </w:r>
          </w:p>
        </w:tc>
        <w:tc>
          <w:tcPr>
            <w:tcW w:w="1704" w:type="dxa"/>
            <w:vAlign w:val="center"/>
          </w:tcPr>
          <w:p w14:paraId="3C50C265">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3.7041</w:t>
            </w:r>
          </w:p>
        </w:tc>
        <w:tc>
          <w:tcPr>
            <w:tcW w:w="1705" w:type="dxa"/>
            <w:vMerge w:val="restart"/>
            <w:vAlign w:val="center"/>
          </w:tcPr>
          <w:p w14:paraId="0168D25D">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11.9726</w:t>
            </w:r>
          </w:p>
        </w:tc>
        <w:tc>
          <w:tcPr>
            <w:tcW w:w="1705" w:type="dxa"/>
            <w:vMerge w:val="restart"/>
            <w:vAlign w:val="center"/>
          </w:tcPr>
          <w:p w14:paraId="6FB4904B">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76.83</w:t>
            </w:r>
          </w:p>
        </w:tc>
      </w:tr>
      <w:tr w14:paraId="551A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vAlign w:val="center"/>
          </w:tcPr>
          <w:p w14:paraId="497797BA">
            <w:pPr>
              <w:widowControl w:val="0"/>
              <w:jc w:val="center"/>
              <w:rPr>
                <w:rFonts w:hint="default" w:ascii="Times New Roman" w:hAnsi="Times New Roman" w:eastAsia="仿宋_GB2312" w:cs="Times New Roman"/>
                <w:b w:val="0"/>
                <w:bCs w:val="0"/>
                <w:sz w:val="24"/>
                <w:szCs w:val="24"/>
                <w:vertAlign w:val="baseline"/>
                <w:lang w:val="en-US" w:eastAsia="zh-CN"/>
              </w:rPr>
            </w:pPr>
          </w:p>
        </w:tc>
        <w:tc>
          <w:tcPr>
            <w:tcW w:w="1704" w:type="dxa"/>
            <w:vAlign w:val="center"/>
          </w:tcPr>
          <w:p w14:paraId="100D82FE">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居住用地</w:t>
            </w:r>
          </w:p>
        </w:tc>
        <w:tc>
          <w:tcPr>
            <w:tcW w:w="1704" w:type="dxa"/>
            <w:vAlign w:val="center"/>
          </w:tcPr>
          <w:p w14:paraId="7302490F">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7.2048</w:t>
            </w:r>
          </w:p>
        </w:tc>
        <w:tc>
          <w:tcPr>
            <w:tcW w:w="1705" w:type="dxa"/>
            <w:vMerge w:val="continue"/>
            <w:vAlign w:val="center"/>
          </w:tcPr>
          <w:p w14:paraId="40D22DAD">
            <w:pPr>
              <w:widowControl w:val="0"/>
              <w:jc w:val="both"/>
              <w:rPr>
                <w:rFonts w:hint="default" w:ascii="Times New Roman" w:hAnsi="Times New Roman" w:eastAsia="仿宋_GB2312" w:cs="Times New Roman"/>
                <w:b w:val="0"/>
                <w:bCs w:val="0"/>
                <w:sz w:val="24"/>
                <w:szCs w:val="24"/>
                <w:vertAlign w:val="baseline"/>
                <w:lang w:val="en-US" w:eastAsia="zh-CN"/>
              </w:rPr>
            </w:pPr>
          </w:p>
        </w:tc>
        <w:tc>
          <w:tcPr>
            <w:tcW w:w="1705" w:type="dxa"/>
            <w:vMerge w:val="continue"/>
            <w:vAlign w:val="center"/>
          </w:tcPr>
          <w:p w14:paraId="5E14B842">
            <w:pPr>
              <w:widowControl w:val="0"/>
              <w:jc w:val="both"/>
              <w:rPr>
                <w:rFonts w:hint="default" w:ascii="Times New Roman" w:hAnsi="Times New Roman" w:eastAsia="仿宋_GB2312" w:cs="Times New Roman"/>
                <w:b w:val="0"/>
                <w:bCs w:val="0"/>
                <w:sz w:val="24"/>
                <w:szCs w:val="24"/>
                <w:vertAlign w:val="baseline"/>
                <w:lang w:val="en-US" w:eastAsia="zh-CN"/>
              </w:rPr>
            </w:pPr>
          </w:p>
        </w:tc>
      </w:tr>
      <w:tr w14:paraId="0B83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Merge w:val="continue"/>
            <w:vAlign w:val="center"/>
          </w:tcPr>
          <w:p w14:paraId="3BB0E711">
            <w:pPr>
              <w:widowControl w:val="0"/>
              <w:jc w:val="center"/>
              <w:rPr>
                <w:rFonts w:hint="default" w:ascii="Times New Roman" w:hAnsi="Times New Roman" w:eastAsia="仿宋_GB2312" w:cs="Times New Roman"/>
                <w:b w:val="0"/>
                <w:bCs w:val="0"/>
                <w:sz w:val="24"/>
                <w:szCs w:val="24"/>
                <w:vertAlign w:val="baseline"/>
                <w:lang w:val="en-US" w:eastAsia="zh-CN"/>
              </w:rPr>
            </w:pPr>
          </w:p>
        </w:tc>
        <w:tc>
          <w:tcPr>
            <w:tcW w:w="1704" w:type="dxa"/>
            <w:vAlign w:val="center"/>
          </w:tcPr>
          <w:p w14:paraId="1567C619">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交通运输用地</w:t>
            </w:r>
          </w:p>
        </w:tc>
        <w:tc>
          <w:tcPr>
            <w:tcW w:w="1704" w:type="dxa"/>
            <w:vAlign w:val="center"/>
          </w:tcPr>
          <w:p w14:paraId="22A3CB61">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1.0637</w:t>
            </w:r>
          </w:p>
        </w:tc>
        <w:tc>
          <w:tcPr>
            <w:tcW w:w="1705" w:type="dxa"/>
            <w:vMerge w:val="continue"/>
            <w:vAlign w:val="center"/>
          </w:tcPr>
          <w:p w14:paraId="08364E02">
            <w:pPr>
              <w:widowControl w:val="0"/>
              <w:jc w:val="both"/>
              <w:rPr>
                <w:rFonts w:hint="default" w:ascii="Times New Roman" w:hAnsi="Times New Roman" w:eastAsia="仿宋_GB2312" w:cs="Times New Roman"/>
                <w:b w:val="0"/>
                <w:bCs w:val="0"/>
                <w:sz w:val="24"/>
                <w:szCs w:val="24"/>
                <w:vertAlign w:val="baseline"/>
                <w:lang w:val="en-US" w:eastAsia="zh-CN"/>
              </w:rPr>
            </w:pPr>
          </w:p>
        </w:tc>
        <w:tc>
          <w:tcPr>
            <w:tcW w:w="1705" w:type="dxa"/>
            <w:vMerge w:val="continue"/>
            <w:vAlign w:val="center"/>
          </w:tcPr>
          <w:p w14:paraId="008B85FD">
            <w:pPr>
              <w:widowControl w:val="0"/>
              <w:jc w:val="both"/>
              <w:rPr>
                <w:rFonts w:hint="default" w:ascii="Times New Roman" w:hAnsi="Times New Roman" w:eastAsia="仿宋_GB2312" w:cs="Times New Roman"/>
                <w:b w:val="0"/>
                <w:bCs w:val="0"/>
                <w:sz w:val="24"/>
                <w:szCs w:val="24"/>
                <w:vertAlign w:val="baseline"/>
                <w:lang w:val="en-US" w:eastAsia="zh-CN"/>
              </w:rPr>
            </w:pPr>
          </w:p>
        </w:tc>
      </w:tr>
      <w:tr w14:paraId="69E2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gridSpan w:val="2"/>
            <w:vAlign w:val="center"/>
          </w:tcPr>
          <w:p w14:paraId="484237D5">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合计</w:t>
            </w:r>
          </w:p>
        </w:tc>
        <w:tc>
          <w:tcPr>
            <w:tcW w:w="1704" w:type="dxa"/>
            <w:vAlign w:val="center"/>
          </w:tcPr>
          <w:p w14:paraId="602B930C">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15.5835</w:t>
            </w:r>
          </w:p>
        </w:tc>
        <w:tc>
          <w:tcPr>
            <w:tcW w:w="1705" w:type="dxa"/>
            <w:vAlign w:val="center"/>
          </w:tcPr>
          <w:p w14:paraId="6EB44CCD">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15.5835</w:t>
            </w:r>
          </w:p>
        </w:tc>
        <w:tc>
          <w:tcPr>
            <w:tcW w:w="1705" w:type="dxa"/>
            <w:vAlign w:val="center"/>
          </w:tcPr>
          <w:p w14:paraId="7F25AAB6">
            <w:pPr>
              <w:keepNext w:val="0"/>
              <w:keepLines w:val="0"/>
              <w:widowControl/>
              <w:suppressLineNumbers w:val="0"/>
              <w:ind w:firstLine="480" w:firstLineChars="200"/>
              <w:jc w:val="both"/>
              <w:textAlignment w:val="bottom"/>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宋体" w:cs="Times New Roman"/>
                <w:b w:val="0"/>
                <w:bCs w:val="0"/>
                <w:i w:val="0"/>
                <w:iCs w:val="0"/>
                <w:color w:val="000000"/>
                <w:kern w:val="0"/>
                <w:sz w:val="24"/>
                <w:szCs w:val="24"/>
                <w:u w:val="none"/>
                <w:lang w:val="en-US" w:eastAsia="zh-CN" w:bidi="ar"/>
              </w:rPr>
              <w:t>100.00</w:t>
            </w:r>
          </w:p>
        </w:tc>
      </w:tr>
    </w:tbl>
    <w:p w14:paraId="1F467EA0">
      <w:pPr>
        <w:ind w:left="0" w:leftChars="0" w:firstLine="0" w:firstLineChars="0"/>
        <w:jc w:val="both"/>
        <w:rPr>
          <w:rFonts w:hint="default" w:ascii="Times New Roman" w:hAnsi="Times New Roman" w:eastAsia="仿宋_GB2312" w:cs="Times New Roman"/>
          <w:b/>
          <w:bCs/>
          <w:sz w:val="24"/>
          <w:szCs w:val="24"/>
          <w:lang w:val="en-US" w:eastAsia="zh-CN"/>
        </w:rPr>
      </w:pPr>
    </w:p>
    <w:p w14:paraId="03882A4F">
      <w:pPr>
        <w:ind w:left="0" w:leftChars="0" w:firstLine="0" w:firstLineChars="0"/>
        <w:jc w:val="both"/>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drawing>
          <wp:inline distT="0" distB="0" distL="114300" distR="114300">
            <wp:extent cx="5259705" cy="3719195"/>
            <wp:effectExtent l="0" t="0" r="17145" b="14605"/>
            <wp:docPr id="5" name="图片 5" descr="赣榆成片开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赣榆成片开发"/>
                    <pic:cNvPicPr>
                      <a:picLocks noChangeAspect="1"/>
                    </pic:cNvPicPr>
                  </pic:nvPicPr>
                  <pic:blipFill>
                    <a:blip r:embed="rId8"/>
                    <a:stretch>
                      <a:fillRect/>
                    </a:stretch>
                  </pic:blipFill>
                  <pic:spPr>
                    <a:xfrm>
                      <a:off x="0" y="0"/>
                      <a:ext cx="5259705" cy="3719195"/>
                    </a:xfrm>
                    <a:prstGeom prst="rect">
                      <a:avLst/>
                    </a:prstGeom>
                  </pic:spPr>
                </pic:pic>
              </a:graphicData>
            </a:graphic>
          </wp:inline>
        </w:drawing>
      </w:r>
    </w:p>
    <w:p w14:paraId="14909F56">
      <w:pPr>
        <w:ind w:firstLine="600"/>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片区土地利用现图</w:t>
      </w:r>
    </w:p>
    <w:p w14:paraId="06147FC8">
      <w:pPr>
        <w:spacing w:line="580" w:lineRule="exact"/>
        <w:ind w:firstLine="600"/>
        <w:jc w:val="both"/>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（3）权属状况</w:t>
      </w:r>
    </w:p>
    <w:p w14:paraId="675A932E">
      <w:pPr>
        <w:spacing w:line="580" w:lineRule="exact"/>
        <w:ind w:firstLine="6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根据赣榆区2024年度国土变更调查成果，并结合历年土地征收、土地权属等数据分析，本片区总面积15.5835公顷，国有土地面积4.9507公顷，占比31.77%，集体土地面积10.6328公顷，占比68.23%，其中拟征收集体土地面积10.6328公顷，涉及赣榆区石桥镇农民集体、赣榆区石桥镇柳树底村农民集体、赣榆区石桥镇白石头村农民集体。权属清晰无争议。</w:t>
      </w:r>
    </w:p>
    <w:p w14:paraId="4FB137BA">
      <w:pPr>
        <w:ind w:firstLine="600"/>
        <w:jc w:val="center"/>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4"/>
          <w:szCs w:val="24"/>
          <w:lang w:val="en-US" w:eastAsia="zh-CN"/>
        </w:rPr>
        <w:t>片区权属状况表</w:t>
      </w:r>
    </w:p>
    <w:p w14:paraId="3A64233A">
      <w:pPr>
        <w:ind w:firstLine="600"/>
        <w:jc w:val="right"/>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单位：公顷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192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2214C0C">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片区名称</w:t>
            </w:r>
          </w:p>
        </w:tc>
        <w:tc>
          <w:tcPr>
            <w:tcW w:w="2841" w:type="dxa"/>
            <w:vAlign w:val="center"/>
          </w:tcPr>
          <w:p w14:paraId="42AFD1DF">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权属类型</w:t>
            </w:r>
          </w:p>
        </w:tc>
        <w:tc>
          <w:tcPr>
            <w:tcW w:w="2841" w:type="dxa"/>
          </w:tcPr>
          <w:p w14:paraId="4B65FBFA">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面积</w:t>
            </w:r>
          </w:p>
        </w:tc>
      </w:tr>
      <w:tr w14:paraId="5C17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restart"/>
            <w:vAlign w:val="center"/>
          </w:tcPr>
          <w:p w14:paraId="5FCE54E8">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石桥镇新宅1号片区</w:t>
            </w:r>
          </w:p>
        </w:tc>
        <w:tc>
          <w:tcPr>
            <w:tcW w:w="2841" w:type="dxa"/>
            <w:vAlign w:val="center"/>
          </w:tcPr>
          <w:p w14:paraId="5442AF45">
            <w:pPr>
              <w:widowControl w:val="0"/>
              <w:ind w:left="0" w:leftChars="0" w:firstLine="0" w:firstLineChars="0"/>
              <w:jc w:val="both"/>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国有土地</w:t>
            </w:r>
          </w:p>
        </w:tc>
        <w:tc>
          <w:tcPr>
            <w:tcW w:w="2841" w:type="dxa"/>
          </w:tcPr>
          <w:p w14:paraId="633BD7DB">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4.9507</w:t>
            </w:r>
          </w:p>
        </w:tc>
      </w:tr>
      <w:tr w14:paraId="56F2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4ED74475">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p>
        </w:tc>
        <w:tc>
          <w:tcPr>
            <w:tcW w:w="2841" w:type="dxa"/>
            <w:vAlign w:val="center"/>
          </w:tcPr>
          <w:p w14:paraId="1A0944EF">
            <w:pPr>
              <w:widowControl w:val="0"/>
              <w:ind w:left="0" w:leftChars="0" w:firstLine="0" w:firstLineChars="0"/>
              <w:jc w:val="both"/>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农村集体土地</w:t>
            </w:r>
          </w:p>
        </w:tc>
        <w:tc>
          <w:tcPr>
            <w:tcW w:w="2841" w:type="dxa"/>
          </w:tcPr>
          <w:p w14:paraId="59A4DE82">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10.6328</w:t>
            </w:r>
          </w:p>
        </w:tc>
      </w:tr>
      <w:tr w14:paraId="4522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5289294D">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p>
        </w:tc>
        <w:tc>
          <w:tcPr>
            <w:tcW w:w="2841" w:type="dxa"/>
            <w:vAlign w:val="center"/>
          </w:tcPr>
          <w:p w14:paraId="1A6AEDC0">
            <w:pPr>
              <w:widowControl w:val="0"/>
              <w:ind w:left="0" w:leftChars="0" w:firstLine="0" w:firstLineChars="0"/>
              <w:jc w:val="both"/>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其中，拟征收集体土地</w:t>
            </w:r>
          </w:p>
        </w:tc>
        <w:tc>
          <w:tcPr>
            <w:tcW w:w="2841" w:type="dxa"/>
          </w:tcPr>
          <w:p w14:paraId="56D75BDD">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10.6328</w:t>
            </w:r>
          </w:p>
        </w:tc>
      </w:tr>
      <w:tr w14:paraId="2AAD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Merge w:val="continue"/>
            <w:vAlign w:val="center"/>
          </w:tcPr>
          <w:p w14:paraId="7955B0E2">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p>
        </w:tc>
        <w:tc>
          <w:tcPr>
            <w:tcW w:w="2841" w:type="dxa"/>
            <w:vAlign w:val="center"/>
          </w:tcPr>
          <w:p w14:paraId="48C9D69A">
            <w:pPr>
              <w:widowControl w:val="0"/>
              <w:ind w:left="0" w:leftChars="0" w:firstLine="0" w:firstLineChars="0"/>
              <w:jc w:val="both"/>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已建或待建集体土地</w:t>
            </w:r>
          </w:p>
        </w:tc>
        <w:tc>
          <w:tcPr>
            <w:tcW w:w="2841" w:type="dxa"/>
          </w:tcPr>
          <w:p w14:paraId="20658660">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0.0000</w:t>
            </w:r>
          </w:p>
        </w:tc>
      </w:tr>
      <w:tr w14:paraId="4C7B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vAlign w:val="center"/>
          </w:tcPr>
          <w:p w14:paraId="070C55EB">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合计</w:t>
            </w:r>
          </w:p>
        </w:tc>
        <w:tc>
          <w:tcPr>
            <w:tcW w:w="2841" w:type="dxa"/>
          </w:tcPr>
          <w:p w14:paraId="3390E74C">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15.5835</w:t>
            </w:r>
          </w:p>
        </w:tc>
      </w:tr>
    </w:tbl>
    <w:p w14:paraId="15CBF762">
      <w:pPr>
        <w:numPr>
          <w:ilvl w:val="0"/>
          <w:numId w:val="1"/>
        </w:numPr>
        <w:spacing w:line="580" w:lineRule="exact"/>
        <w:ind w:firstLine="6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拟征收集体土地情况</w:t>
      </w:r>
    </w:p>
    <w:p w14:paraId="28D1D050">
      <w:pPr>
        <w:spacing w:line="580" w:lineRule="exact"/>
        <w:ind w:firstLine="6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拟征收集体土地中，涉及农用地3.4170公顷、建设用地7.2158公顷，共计10.6328公顷。根据赣榆区人民政府批准的《赣榆区石桥镇新宅片区详细规划》确定的规划用途，其中交通运输用地1.8881公顷、居住用地4.1275公顷、商业用地3.0023公顷，绿地与开敞空间用地1.6149公顷。</w:t>
      </w:r>
    </w:p>
    <w:p w14:paraId="10AA03F9">
      <w:pPr>
        <w:ind w:firstLine="600"/>
        <w:jc w:val="center"/>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4"/>
          <w:szCs w:val="24"/>
          <w:lang w:val="en-US" w:eastAsia="zh-CN"/>
        </w:rPr>
        <w:t>片区拟征收集体土地情况表</w:t>
      </w:r>
    </w:p>
    <w:p w14:paraId="28DF4CDC">
      <w:pPr>
        <w:spacing w:line="580" w:lineRule="exact"/>
        <w:ind w:firstLine="600"/>
        <w:jc w:val="right"/>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b/>
          <w:bCs/>
          <w:sz w:val="24"/>
          <w:szCs w:val="24"/>
          <w:lang w:val="en-US" w:eastAsia="zh-CN"/>
        </w:rPr>
        <w:t>单位：公顷</w:t>
      </w:r>
    </w:p>
    <w:tbl>
      <w:tblPr>
        <w:tblStyle w:val="15"/>
        <w:tblW w:w="9440" w:type="dxa"/>
        <w:tblInd w:w="-5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55"/>
        <w:gridCol w:w="996"/>
        <w:gridCol w:w="996"/>
        <w:gridCol w:w="876"/>
        <w:gridCol w:w="876"/>
        <w:gridCol w:w="876"/>
        <w:gridCol w:w="876"/>
        <w:gridCol w:w="876"/>
        <w:gridCol w:w="1023"/>
        <w:gridCol w:w="890"/>
      </w:tblGrid>
      <w:tr w14:paraId="3205A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171C6">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片区名称</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9112E">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集体土地面积</w:t>
            </w:r>
          </w:p>
        </w:tc>
        <w:tc>
          <w:tcPr>
            <w:tcW w:w="72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A03F13">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其中，拟征收集体土地</w:t>
            </w:r>
          </w:p>
        </w:tc>
      </w:tr>
      <w:tr w14:paraId="4DAA5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C84DF">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DC215">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F462C">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小计</w:t>
            </w:r>
          </w:p>
        </w:tc>
        <w:tc>
          <w:tcPr>
            <w:tcW w:w="26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7E9C5D">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按土地利用现状</w:t>
            </w:r>
          </w:p>
        </w:tc>
        <w:tc>
          <w:tcPr>
            <w:tcW w:w="36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4A4668">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按土地规划用途</w:t>
            </w:r>
          </w:p>
        </w:tc>
      </w:tr>
      <w:tr w14:paraId="283C7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F78DB">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E0CB6">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D7615">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1444">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农用地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DFD7">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建设用地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E230">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未利用地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C726">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居住用地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153D3">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商业用地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4C06">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绿地与开敞空间用地</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E6F0">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交通运输用地</w:t>
            </w:r>
          </w:p>
        </w:tc>
      </w:tr>
      <w:tr w14:paraId="6D8C1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3A77">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石桥镇新宅1号片区</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03B86">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 xml:space="preserve">10.6328 </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B54A">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 xml:space="preserve">10.6328 </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33DBB">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 xml:space="preserve">3.4170 </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1F5F">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 xml:space="preserve">7.2158 </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E846">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 xml:space="preserve">0.0000 </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000E">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 xml:space="preserve">4.1275 </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74D8">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 xml:space="preserve">3.0023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2779">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 xml:space="preserve">1.6149 </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A698">
            <w:pPr>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 xml:space="preserve">1.8881 </w:t>
            </w:r>
          </w:p>
        </w:tc>
      </w:tr>
    </w:tbl>
    <w:p w14:paraId="325A0AAE">
      <w:pPr>
        <w:spacing w:line="580" w:lineRule="exact"/>
        <w:ind w:firstLine="600"/>
        <w:jc w:val="both"/>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val="en-US" w:eastAsia="zh-CN"/>
        </w:rPr>
        <w:t>（4）开发建设状况</w:t>
      </w:r>
    </w:p>
    <w:p w14:paraId="67E11947">
      <w:pPr>
        <w:spacing w:line="580" w:lineRule="exact"/>
        <w:ind w:firstLine="6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开发片区实际建设状况全部为规划建设，用地面积为15.5835公顷，占比100.00%。</w:t>
      </w:r>
    </w:p>
    <w:p w14:paraId="72B687C8">
      <w:pPr>
        <w:ind w:firstLine="600"/>
        <w:jc w:val="center"/>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4"/>
          <w:szCs w:val="24"/>
          <w:lang w:val="en-US" w:eastAsia="zh-CN"/>
        </w:rPr>
        <w:t>片区建设状况表</w:t>
      </w:r>
    </w:p>
    <w:p w14:paraId="2955F6BD">
      <w:pPr>
        <w:ind w:firstLine="600"/>
        <w:jc w:val="right"/>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b/>
          <w:bCs/>
          <w:sz w:val="24"/>
          <w:szCs w:val="24"/>
          <w:lang w:val="en-US" w:eastAsia="zh-CN"/>
        </w:rPr>
        <w:t>单位：公顷，%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AD0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483D86C">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建设状况</w:t>
            </w:r>
          </w:p>
        </w:tc>
        <w:tc>
          <w:tcPr>
            <w:tcW w:w="2841" w:type="dxa"/>
          </w:tcPr>
          <w:p w14:paraId="1E82CFA1">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面积</w:t>
            </w:r>
          </w:p>
        </w:tc>
        <w:tc>
          <w:tcPr>
            <w:tcW w:w="2841" w:type="dxa"/>
          </w:tcPr>
          <w:p w14:paraId="29F0FA83">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占比</w:t>
            </w:r>
          </w:p>
        </w:tc>
      </w:tr>
      <w:tr w14:paraId="758A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6A63B0B">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已建成</w:t>
            </w:r>
          </w:p>
        </w:tc>
        <w:tc>
          <w:tcPr>
            <w:tcW w:w="2841" w:type="dxa"/>
          </w:tcPr>
          <w:p w14:paraId="436B13F0">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0.0000</w:t>
            </w:r>
          </w:p>
        </w:tc>
        <w:tc>
          <w:tcPr>
            <w:tcW w:w="2841" w:type="dxa"/>
          </w:tcPr>
          <w:p w14:paraId="064547E8">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0.00</w:t>
            </w:r>
          </w:p>
        </w:tc>
      </w:tr>
      <w:tr w14:paraId="2D16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404DF90">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规划建设</w:t>
            </w:r>
          </w:p>
        </w:tc>
        <w:tc>
          <w:tcPr>
            <w:tcW w:w="2841" w:type="dxa"/>
          </w:tcPr>
          <w:p w14:paraId="7C2EB534">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15.5835</w:t>
            </w:r>
          </w:p>
        </w:tc>
        <w:tc>
          <w:tcPr>
            <w:tcW w:w="2841" w:type="dxa"/>
          </w:tcPr>
          <w:p w14:paraId="458DB7AA">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100.00</w:t>
            </w:r>
          </w:p>
        </w:tc>
      </w:tr>
      <w:tr w14:paraId="1875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260A5D8">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合计</w:t>
            </w:r>
          </w:p>
        </w:tc>
        <w:tc>
          <w:tcPr>
            <w:tcW w:w="2841" w:type="dxa"/>
          </w:tcPr>
          <w:p w14:paraId="7A28F30D">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15.5835</w:t>
            </w:r>
          </w:p>
        </w:tc>
        <w:tc>
          <w:tcPr>
            <w:tcW w:w="2841" w:type="dxa"/>
          </w:tcPr>
          <w:p w14:paraId="4CDF45E5">
            <w:pPr>
              <w:widowControl w:val="0"/>
              <w:ind w:left="0" w:leftChars="0" w:firstLine="0" w:firstLineChars="0"/>
              <w:jc w:val="center"/>
              <w:rPr>
                <w:rFonts w:hint="default" w:ascii="Times New Roman" w:hAnsi="Times New Roman" w:eastAsia="仿宋_GB2312" w:cs="Times New Roman"/>
                <w:b w:val="0"/>
                <w:bCs w:val="0"/>
                <w:sz w:val="24"/>
                <w:szCs w:val="24"/>
                <w:vertAlign w:val="baseline"/>
                <w:lang w:val="en-US" w:eastAsia="zh-CN"/>
              </w:rPr>
            </w:pPr>
            <w:r>
              <w:rPr>
                <w:rFonts w:hint="default" w:ascii="Times New Roman" w:hAnsi="Times New Roman" w:eastAsia="仿宋_GB2312" w:cs="Times New Roman"/>
                <w:b w:val="0"/>
                <w:bCs w:val="0"/>
                <w:sz w:val="24"/>
                <w:szCs w:val="24"/>
                <w:vertAlign w:val="baseline"/>
                <w:lang w:val="en-US" w:eastAsia="zh-CN"/>
              </w:rPr>
              <w:t>100.00</w:t>
            </w:r>
          </w:p>
        </w:tc>
      </w:tr>
    </w:tbl>
    <w:p w14:paraId="399574B9">
      <w:pPr>
        <w:spacing w:line="580" w:lineRule="exact"/>
        <w:ind w:firstLine="600"/>
        <w:jc w:val="both"/>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eastAsia="zh-CN"/>
        </w:rPr>
        <w:t>（</w:t>
      </w:r>
      <w:r>
        <w:rPr>
          <w:rFonts w:hint="default" w:ascii="Times New Roman" w:hAnsi="Times New Roman" w:eastAsia="仿宋_GB2312" w:cs="Times New Roman"/>
          <w:b/>
          <w:bCs/>
          <w:sz w:val="30"/>
          <w:szCs w:val="30"/>
          <w:lang w:val="en-US" w:eastAsia="zh-CN"/>
        </w:rPr>
        <w:t>5</w:t>
      </w:r>
      <w:r>
        <w:rPr>
          <w:rFonts w:hint="default" w:ascii="Times New Roman" w:hAnsi="Times New Roman" w:eastAsia="仿宋_GB2312" w:cs="Times New Roman"/>
          <w:b/>
          <w:bCs/>
          <w:sz w:val="30"/>
          <w:szCs w:val="30"/>
          <w:lang w:eastAsia="zh-CN"/>
        </w:rPr>
        <w:t>）</w:t>
      </w:r>
      <w:r>
        <w:rPr>
          <w:rFonts w:hint="default" w:ascii="Times New Roman" w:hAnsi="Times New Roman" w:eastAsia="仿宋_GB2312" w:cs="Times New Roman"/>
          <w:b/>
          <w:bCs/>
          <w:sz w:val="30"/>
          <w:szCs w:val="30"/>
          <w:lang w:val="en-US" w:eastAsia="zh-CN"/>
        </w:rPr>
        <w:t>基础设施条件</w:t>
      </w:r>
    </w:p>
    <w:p w14:paraId="7661FAD4">
      <w:pPr>
        <w:ind w:firstLine="600" w:firstLineChars="200"/>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1）交通设施</w:t>
      </w:r>
    </w:p>
    <w:p w14:paraId="1B07E0BC">
      <w:pPr>
        <w:spacing w:line="580" w:lineRule="exact"/>
        <w:ind w:firstLine="600"/>
        <w:jc w:val="both"/>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rPr>
        <w:t>本片区紧邻 G204 国道、石桥镇镇区主干道路，临近黄海粮油产业园内部路网，对外外联干线通畅、片区内部通行基础条件良好。</w:t>
      </w:r>
    </w:p>
    <w:p w14:paraId="0E90DAAA">
      <w:pPr>
        <w:ind w:firstLine="600" w:firstLineChars="200"/>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2）市政设施</w:t>
      </w:r>
    </w:p>
    <w:p w14:paraId="7249A16F">
      <w:pPr>
        <w:ind w:firstLine="600" w:firstLineChars="200"/>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尚未配套完整系统化市政管网，片区整体缺少统一布局的产业防护绿化、环卫中转、应急配套、等公用配套设施，但片区紧靠黄海粮油产业园工业集中区，可直接接驳产业园已建成给水、排水、电力、通信等基础市政管线。</w:t>
      </w:r>
    </w:p>
    <w:p w14:paraId="5DC6A337">
      <w:pPr>
        <w:ind w:firstLine="643"/>
        <w:outlineLvl w:val="1"/>
        <w:rPr>
          <w:rFonts w:hint="default" w:ascii="Times New Roman" w:hAnsi="Times New Roman" w:eastAsia="仿宋_GB2312" w:cs="Times New Roman"/>
          <w:b/>
          <w:kern w:val="0"/>
          <w:sz w:val="32"/>
          <w:szCs w:val="32"/>
          <w:lang w:bidi="ar"/>
        </w:rPr>
      </w:pPr>
      <w:r>
        <w:rPr>
          <w:rFonts w:hint="default" w:ascii="Times New Roman" w:hAnsi="Times New Roman" w:eastAsia="仿宋_GB2312" w:cs="Times New Roman"/>
          <w:b/>
          <w:kern w:val="0"/>
          <w:sz w:val="32"/>
          <w:szCs w:val="32"/>
          <w:lang w:bidi="ar"/>
        </w:rPr>
        <w:t>（</w:t>
      </w:r>
      <w:r>
        <w:rPr>
          <w:rFonts w:hint="default" w:ascii="Times New Roman" w:hAnsi="Times New Roman" w:eastAsia="仿宋_GB2312" w:cs="Times New Roman"/>
          <w:b/>
          <w:kern w:val="0"/>
          <w:sz w:val="32"/>
          <w:szCs w:val="32"/>
          <w:lang w:val="en-US" w:eastAsia="zh-CN" w:bidi="ar"/>
        </w:rPr>
        <w:t>二</w:t>
      </w:r>
      <w:r>
        <w:rPr>
          <w:rFonts w:hint="default" w:ascii="Times New Roman" w:hAnsi="Times New Roman" w:eastAsia="仿宋_GB2312" w:cs="Times New Roman"/>
          <w:b/>
          <w:kern w:val="0"/>
          <w:sz w:val="32"/>
          <w:szCs w:val="32"/>
          <w:lang w:bidi="ar"/>
        </w:rPr>
        <w:t>）符合国土空间规划情况</w:t>
      </w:r>
    </w:p>
    <w:p w14:paraId="2CD3F618">
      <w:pPr>
        <w:spacing w:line="580" w:lineRule="exact"/>
        <w:ind w:firstLine="600"/>
        <w:jc w:val="both"/>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eastAsia="zh-CN"/>
        </w:rPr>
        <w:t>（</w:t>
      </w:r>
      <w:r>
        <w:rPr>
          <w:rFonts w:hint="default" w:ascii="Times New Roman" w:hAnsi="Times New Roman" w:eastAsia="仿宋_GB2312" w:cs="Times New Roman"/>
          <w:b/>
          <w:bCs/>
          <w:sz w:val="30"/>
          <w:szCs w:val="30"/>
          <w:lang w:val="en-US" w:eastAsia="zh-CN"/>
        </w:rPr>
        <w:t>1</w:t>
      </w:r>
      <w:r>
        <w:rPr>
          <w:rFonts w:hint="default" w:ascii="Times New Roman" w:hAnsi="Times New Roman" w:eastAsia="仿宋_GB2312" w:cs="Times New Roman"/>
          <w:b/>
          <w:bCs/>
          <w:sz w:val="30"/>
          <w:szCs w:val="30"/>
          <w:lang w:eastAsia="zh-CN"/>
        </w:rPr>
        <w:t>）</w:t>
      </w:r>
      <w:r>
        <w:rPr>
          <w:rFonts w:hint="default" w:ascii="Times New Roman" w:hAnsi="Times New Roman" w:eastAsia="仿宋_GB2312" w:cs="Times New Roman"/>
          <w:b/>
          <w:bCs/>
          <w:sz w:val="30"/>
          <w:szCs w:val="30"/>
          <w:lang w:val="en-US" w:eastAsia="zh-CN"/>
        </w:rPr>
        <w:t>与国土空间总体规划的衔接情况</w:t>
      </w:r>
    </w:p>
    <w:p w14:paraId="3AD695BB">
      <w:pPr>
        <w:spacing w:line="580" w:lineRule="exact"/>
        <w:ind w:firstLine="60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本片区与《连云港市</w:t>
      </w:r>
      <w:r>
        <w:rPr>
          <w:rFonts w:hint="default" w:ascii="Times New Roman" w:hAnsi="Times New Roman" w:eastAsia="仿宋_GB2312" w:cs="Times New Roman"/>
          <w:sz w:val="30"/>
          <w:szCs w:val="30"/>
          <w:lang w:val="en-US" w:eastAsia="zh-CN"/>
        </w:rPr>
        <w:t>赣榆</w:t>
      </w:r>
      <w:r>
        <w:rPr>
          <w:rFonts w:hint="default" w:ascii="Times New Roman" w:hAnsi="Times New Roman" w:eastAsia="仿宋_GB2312" w:cs="Times New Roman"/>
          <w:sz w:val="30"/>
          <w:szCs w:val="30"/>
        </w:rPr>
        <w:t>区国土空间总体规划</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2021-2035</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》成果进行衔接，经核查，均位于国土空间总体规划确定的城镇开发边界范围内，满足自然资源部土地征收成片开发标准相关规定。</w:t>
      </w:r>
    </w:p>
    <w:p w14:paraId="68576643">
      <w:pPr>
        <w:ind w:firstLine="0" w:firstLineChars="0"/>
        <w:jc w:val="center"/>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drawing>
          <wp:inline distT="0" distB="0" distL="114300" distR="114300">
            <wp:extent cx="5270500" cy="3283585"/>
            <wp:effectExtent l="0" t="0" r="6350" b="12065"/>
            <wp:docPr id="10" name="图片 10" descr="C:/Users/Administrator/Desktop/赣榆成片开发.jpg赣榆成片开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赣榆成片开发.jpg赣榆成片开发"/>
                    <pic:cNvPicPr>
                      <a:picLocks noChangeAspect="1"/>
                    </pic:cNvPicPr>
                  </pic:nvPicPr>
                  <pic:blipFill>
                    <a:blip r:embed="rId9"/>
                    <a:srcRect t="30" b="30"/>
                    <a:stretch>
                      <a:fillRect/>
                    </a:stretch>
                  </pic:blipFill>
                  <pic:spPr>
                    <a:xfrm>
                      <a:off x="0" y="0"/>
                      <a:ext cx="5270500" cy="3283585"/>
                    </a:xfrm>
                    <a:prstGeom prst="rect">
                      <a:avLst/>
                    </a:prstGeom>
                    <a:noFill/>
                    <a:ln>
                      <a:noFill/>
                    </a:ln>
                  </pic:spPr>
                </pic:pic>
              </a:graphicData>
            </a:graphic>
          </wp:inline>
        </w:drawing>
      </w:r>
    </w:p>
    <w:p w14:paraId="5C602853">
      <w:pPr>
        <w:ind w:firstLine="0" w:firstLineChars="0"/>
        <w:jc w:val="center"/>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drawing>
          <wp:inline distT="0" distB="0" distL="114300" distR="114300">
            <wp:extent cx="5270500" cy="3727450"/>
            <wp:effectExtent l="0" t="0" r="6350" b="6350"/>
            <wp:docPr id="11" name="图片 11" descr="C:/Users/Administrator/Desktop/赣榆成片开发.jpg赣榆成片开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strator/Desktop/赣榆成片开发.jpg赣榆成片开发"/>
                    <pic:cNvPicPr>
                      <a:picLocks noChangeAspect="1"/>
                    </pic:cNvPicPr>
                  </pic:nvPicPr>
                  <pic:blipFill>
                    <a:blip r:embed="rId10"/>
                    <a:srcRect t="30" b="30"/>
                    <a:stretch>
                      <a:fillRect/>
                    </a:stretch>
                  </pic:blipFill>
                  <pic:spPr>
                    <a:xfrm>
                      <a:off x="0" y="0"/>
                      <a:ext cx="5270500" cy="3727450"/>
                    </a:xfrm>
                    <a:prstGeom prst="rect">
                      <a:avLst/>
                    </a:prstGeom>
                    <a:noFill/>
                    <a:ln>
                      <a:noFill/>
                    </a:ln>
                  </pic:spPr>
                </pic:pic>
              </a:graphicData>
            </a:graphic>
          </wp:inline>
        </w:drawing>
      </w:r>
    </w:p>
    <w:p w14:paraId="4C705D05">
      <w:pPr>
        <w:ind w:firstLine="0" w:firstLineChars="0"/>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片区</w:t>
      </w:r>
      <w:r>
        <w:rPr>
          <w:rFonts w:hint="default" w:ascii="Times New Roman" w:hAnsi="Times New Roman" w:eastAsia="仿宋_GB2312" w:cs="Times New Roman"/>
          <w:b/>
          <w:bCs/>
          <w:sz w:val="24"/>
          <w:lang w:val="en-US" w:eastAsia="zh-CN"/>
        </w:rPr>
        <w:t>与城镇开发边界衔接</w:t>
      </w:r>
      <w:r>
        <w:rPr>
          <w:rFonts w:hint="default" w:ascii="Times New Roman" w:hAnsi="Times New Roman" w:eastAsia="仿宋_GB2312" w:cs="Times New Roman"/>
          <w:b/>
          <w:bCs/>
          <w:sz w:val="24"/>
        </w:rPr>
        <w:t>图</w:t>
      </w:r>
    </w:p>
    <w:p w14:paraId="205AB0AA">
      <w:pPr>
        <w:spacing w:line="580" w:lineRule="exact"/>
        <w:ind w:firstLine="600"/>
        <w:jc w:val="both"/>
        <w:rPr>
          <w:rFonts w:hint="default" w:ascii="Times New Roman" w:hAnsi="Times New Roman" w:eastAsia="仿宋_GB2312" w:cs="Times New Roman"/>
          <w:b/>
          <w:bCs/>
          <w:sz w:val="30"/>
          <w:szCs w:val="30"/>
          <w:lang w:val="en-US" w:eastAsia="zh-CN"/>
        </w:rPr>
      </w:pPr>
      <w:r>
        <w:rPr>
          <w:rFonts w:hint="default" w:ascii="Times New Roman" w:hAnsi="Times New Roman" w:eastAsia="仿宋_GB2312" w:cs="Times New Roman"/>
          <w:b/>
          <w:bCs/>
          <w:sz w:val="30"/>
          <w:szCs w:val="30"/>
          <w:lang w:eastAsia="zh-CN"/>
        </w:rPr>
        <w:t>（</w:t>
      </w:r>
      <w:r>
        <w:rPr>
          <w:rFonts w:hint="default" w:ascii="Times New Roman" w:hAnsi="Times New Roman" w:eastAsia="仿宋_GB2312" w:cs="Times New Roman"/>
          <w:b/>
          <w:bCs/>
          <w:sz w:val="30"/>
          <w:szCs w:val="30"/>
          <w:lang w:val="en-US" w:eastAsia="zh-CN"/>
        </w:rPr>
        <w:t>2</w:t>
      </w:r>
      <w:r>
        <w:rPr>
          <w:rFonts w:hint="default" w:ascii="Times New Roman" w:hAnsi="Times New Roman" w:eastAsia="仿宋_GB2312" w:cs="Times New Roman"/>
          <w:b/>
          <w:bCs/>
          <w:sz w:val="30"/>
          <w:szCs w:val="30"/>
          <w:lang w:eastAsia="zh-CN"/>
        </w:rPr>
        <w:t>）</w:t>
      </w:r>
      <w:r>
        <w:rPr>
          <w:rFonts w:hint="default" w:ascii="Times New Roman" w:hAnsi="Times New Roman" w:eastAsia="仿宋_GB2312" w:cs="Times New Roman"/>
          <w:b/>
          <w:bCs/>
          <w:sz w:val="30"/>
          <w:szCs w:val="30"/>
          <w:lang w:val="en-US" w:eastAsia="zh-CN"/>
        </w:rPr>
        <w:t>与详细规划的衔接情况</w:t>
      </w:r>
    </w:p>
    <w:p w14:paraId="55301212">
      <w:pPr>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本片区位于</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区人民政府关于对</w:t>
      </w:r>
      <w:r>
        <w:rPr>
          <w:rFonts w:hint="default" w:ascii="Times New Roman" w:hAnsi="Times New Roman" w:eastAsia="仿宋_GB2312" w:cs="Times New Roman"/>
          <w:sz w:val="30"/>
          <w:szCs w:val="30"/>
          <w:lang w:val="en-US" w:eastAsia="zh-CN"/>
        </w:rPr>
        <w:t>&lt;</w:t>
      </w:r>
      <w:r>
        <w:rPr>
          <w:rFonts w:hint="default" w:ascii="Times New Roman" w:hAnsi="Times New Roman" w:eastAsia="仿宋_GB2312" w:cs="Times New Roman"/>
          <w:sz w:val="30"/>
          <w:szCs w:val="30"/>
        </w:rPr>
        <w:t>赣榆区</w:t>
      </w:r>
      <w:r>
        <w:rPr>
          <w:rFonts w:hint="default" w:ascii="Times New Roman" w:hAnsi="Times New Roman" w:eastAsia="仿宋_GB2312" w:cs="Times New Roman"/>
          <w:sz w:val="30"/>
          <w:szCs w:val="30"/>
          <w:lang w:eastAsia="zh-CN"/>
        </w:rPr>
        <w:t>石桥镇新宅片区</w:t>
      </w:r>
      <w:r>
        <w:rPr>
          <w:rFonts w:hint="default" w:ascii="Times New Roman" w:hAnsi="Times New Roman" w:eastAsia="仿宋_GB2312" w:cs="Times New Roman"/>
          <w:sz w:val="30"/>
          <w:szCs w:val="30"/>
        </w:rPr>
        <w:t>详细规划</w:t>
      </w:r>
      <w:r>
        <w:rPr>
          <w:rFonts w:hint="default" w:ascii="Times New Roman" w:hAnsi="Times New Roman" w:eastAsia="仿宋_GB2312" w:cs="Times New Roman"/>
          <w:sz w:val="30"/>
          <w:szCs w:val="30"/>
          <w:lang w:val="en-US" w:eastAsia="zh-CN"/>
        </w:rPr>
        <w:t>&gt;</w:t>
      </w:r>
      <w:r>
        <w:rPr>
          <w:rFonts w:hint="default" w:ascii="Times New Roman" w:hAnsi="Times New Roman" w:eastAsia="仿宋_GB2312" w:cs="Times New Roman"/>
          <w:sz w:val="30"/>
          <w:szCs w:val="30"/>
        </w:rPr>
        <w:t>的批复</w:t>
      </w:r>
      <w:r>
        <w:rPr>
          <w:rFonts w:hint="default" w:ascii="Times New Roman" w:hAnsi="Times New Roman" w:eastAsia="仿宋_GB2312" w:cs="Times New Roman"/>
          <w:sz w:val="30"/>
          <w:szCs w:val="30"/>
          <w:lang w:eastAsia="zh-CN"/>
        </w:rPr>
        <w:t>》（赣政规复</w:t>
      </w:r>
      <w:r>
        <w:rPr>
          <w:rFonts w:hint="default"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eastAsia="zh-CN"/>
        </w:rPr>
        <w:t>202</w:t>
      </w:r>
      <w:r>
        <w:rPr>
          <w:rFonts w:hint="default" w:ascii="Times New Roman" w:hAnsi="Times New Roman" w:eastAsia="仿宋_GB2312" w:cs="Times New Roman"/>
          <w:sz w:val="30"/>
          <w:szCs w:val="30"/>
          <w:lang w:val="en-US" w:eastAsia="zh-CN"/>
        </w:rPr>
        <w:t>4〕4</w:t>
      </w:r>
      <w:r>
        <w:rPr>
          <w:rFonts w:hint="default" w:ascii="Times New Roman" w:hAnsi="Times New Roman" w:eastAsia="仿宋_GB2312" w:cs="Times New Roman"/>
          <w:sz w:val="30"/>
          <w:szCs w:val="30"/>
          <w:lang w:eastAsia="zh-CN"/>
        </w:rPr>
        <w:t>号）</w:t>
      </w:r>
      <w:r>
        <w:rPr>
          <w:rFonts w:hint="default" w:ascii="Times New Roman" w:hAnsi="Times New Roman" w:eastAsia="仿宋_GB2312" w:cs="Times New Roman"/>
          <w:sz w:val="30"/>
          <w:szCs w:val="30"/>
          <w:lang w:val="en-US" w:eastAsia="zh-CN"/>
        </w:rPr>
        <w:t>范围内</w:t>
      </w:r>
      <w:r>
        <w:rPr>
          <w:rFonts w:hint="default" w:ascii="Times New Roman" w:hAnsi="Times New Roman" w:eastAsia="仿宋_GB2312" w:cs="Times New Roman"/>
          <w:sz w:val="30"/>
          <w:szCs w:val="30"/>
        </w:rPr>
        <w:t>，用地性质与详规一致。主要规划用途为居住</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lang w:val="en-US" w:eastAsia="zh-CN"/>
        </w:rPr>
        <w:t>商业</w:t>
      </w:r>
      <w:r>
        <w:rPr>
          <w:rFonts w:hint="default" w:ascii="Times New Roman" w:hAnsi="Times New Roman" w:eastAsia="仿宋_GB2312" w:cs="Times New Roman"/>
          <w:sz w:val="30"/>
          <w:szCs w:val="30"/>
        </w:rPr>
        <w:t>、交通运输、绿地等。</w:t>
      </w:r>
    </w:p>
    <w:p w14:paraId="311B481F">
      <w:pPr>
        <w:ind w:firstLine="0" w:firstLineChars="0"/>
        <w:jc w:val="center"/>
        <w:rPr>
          <w:rFonts w:hint="default" w:ascii="Times New Roman" w:hAnsi="Times New Roman" w:eastAsia="仿宋_GB2312" w:cs="Times New Roman"/>
          <w:b/>
          <w:kern w:val="0"/>
          <w:sz w:val="30"/>
          <w:szCs w:val="30"/>
        </w:rPr>
      </w:pPr>
      <w:r>
        <w:rPr>
          <w:rFonts w:hint="default" w:ascii="Times New Roman" w:hAnsi="Times New Roman" w:eastAsia="仿宋_GB2312" w:cs="Times New Roman"/>
          <w:b/>
          <w:kern w:val="0"/>
          <w:sz w:val="30"/>
          <w:szCs w:val="30"/>
        </w:rPr>
        <w:drawing>
          <wp:inline distT="0" distB="0" distL="114300" distR="114300">
            <wp:extent cx="5014595" cy="2714625"/>
            <wp:effectExtent l="0" t="0" r="14605" b="9525"/>
            <wp:docPr id="4" name="图片 4" descr="C:/Users/Administrator/Desktop/赣榆成片开发.jpg赣榆成片开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赣榆成片开发.jpg赣榆成片开发"/>
                    <pic:cNvPicPr>
                      <a:picLocks noChangeAspect="1"/>
                    </pic:cNvPicPr>
                  </pic:nvPicPr>
                  <pic:blipFill>
                    <a:blip r:embed="rId11"/>
                    <a:srcRect l="17" r="17"/>
                    <a:stretch>
                      <a:fillRect/>
                    </a:stretch>
                  </pic:blipFill>
                  <pic:spPr>
                    <a:xfrm>
                      <a:off x="0" y="0"/>
                      <a:ext cx="5014595" cy="2714625"/>
                    </a:xfrm>
                    <a:prstGeom prst="rect">
                      <a:avLst/>
                    </a:prstGeom>
                    <a:noFill/>
                    <a:ln>
                      <a:noFill/>
                    </a:ln>
                  </pic:spPr>
                </pic:pic>
              </a:graphicData>
            </a:graphic>
          </wp:inline>
        </w:drawing>
      </w:r>
    </w:p>
    <w:p w14:paraId="424176D5">
      <w:pPr>
        <w:ind w:firstLine="0" w:firstLineChars="0"/>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片区</w:t>
      </w:r>
      <w:r>
        <w:rPr>
          <w:rFonts w:hint="default" w:ascii="Times New Roman" w:hAnsi="Times New Roman" w:eastAsia="仿宋_GB2312" w:cs="Times New Roman"/>
          <w:b/>
          <w:bCs/>
          <w:sz w:val="24"/>
          <w:lang w:val="en-US" w:eastAsia="zh-CN"/>
        </w:rPr>
        <w:t>与详细规划衔接</w:t>
      </w:r>
      <w:r>
        <w:rPr>
          <w:rFonts w:hint="default" w:ascii="Times New Roman" w:hAnsi="Times New Roman" w:eastAsia="仿宋_GB2312" w:cs="Times New Roman"/>
          <w:b/>
          <w:bCs/>
          <w:sz w:val="24"/>
        </w:rPr>
        <w:t>图</w:t>
      </w:r>
    </w:p>
    <w:p w14:paraId="6194D5F6">
      <w:pPr>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、成片开发</w:t>
      </w:r>
      <w:r>
        <w:rPr>
          <w:rFonts w:hint="default" w:ascii="Times New Roman" w:hAnsi="Times New Roman" w:eastAsia="黑体" w:cs="Times New Roman"/>
          <w:sz w:val="32"/>
          <w:szCs w:val="32"/>
          <w:lang w:eastAsia="zh-CN"/>
        </w:rPr>
        <w:t>的</w:t>
      </w:r>
      <w:r>
        <w:rPr>
          <w:rFonts w:hint="default" w:ascii="Times New Roman" w:hAnsi="Times New Roman" w:eastAsia="黑体" w:cs="Times New Roman"/>
          <w:sz w:val="32"/>
          <w:szCs w:val="32"/>
          <w:lang w:val="en-US" w:eastAsia="zh-CN"/>
        </w:rPr>
        <w:t>必要性</w:t>
      </w:r>
    </w:p>
    <w:p w14:paraId="3A4071FB">
      <w:pPr>
        <w:ind w:firstLine="643"/>
        <w:outlineLvl w:val="1"/>
        <w:rPr>
          <w:rFonts w:hint="default" w:ascii="Times New Roman" w:hAnsi="Times New Roman" w:eastAsia="仿宋_GB2312" w:cs="Times New Roman"/>
          <w:b/>
          <w:kern w:val="0"/>
          <w:sz w:val="32"/>
          <w:szCs w:val="32"/>
          <w:lang w:bidi="ar"/>
        </w:rPr>
      </w:pPr>
      <w:r>
        <w:rPr>
          <w:rFonts w:hint="default" w:ascii="Times New Roman" w:hAnsi="Times New Roman" w:eastAsia="仿宋_GB2312" w:cs="Times New Roman"/>
          <w:b/>
          <w:kern w:val="0"/>
          <w:sz w:val="32"/>
          <w:szCs w:val="32"/>
          <w:lang w:bidi="ar"/>
        </w:rPr>
        <w:t>（一）契合经济社会发展目标</w:t>
      </w:r>
    </w:p>
    <w:p w14:paraId="241FCC32">
      <w:pPr>
        <w:spacing w:line="580" w:lineRule="exact"/>
        <w:ind w:firstLine="60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本次成片开发契合多重法定规划及年度发展目标，符合《连云港市赣榆区国土空间总体规划（2021-2035 年）》关于临港产业组团连片集约开发、统筹配置基础设施与公益配套的空间管控要求，落实黄海粮油产业园粮油精深加工、仓储物流集散、多式联运产业集聚发展的规划定位，承接赣榆区石桥镇镇区产城融合提质、存量低效用地盘活、补齐产业与民生配套的更新任务，对接赣榆区国民经济和社会发展第十五个五年规划纲要完善临港产业承载能级、推进园区扩容升级与征地安置安居工程的中长期发展部署，同时完成赣榆区及石桥镇年度国民经济和社会发展计划明确的产业片区成片开发、市政公用设施共建共享、生态防护与公共服务配套落地等年度重点工作。本次土地征收成片开发整体纳入黄海粮油产业园统筹发展格局，完全契合各级法定规划、产业布局导向与年度经济社会发展重点任务要求。</w:t>
      </w:r>
    </w:p>
    <w:p w14:paraId="29BB1221">
      <w:pPr>
        <w:ind w:firstLine="643"/>
        <w:outlineLvl w:val="1"/>
        <w:rPr>
          <w:rFonts w:hint="default" w:ascii="Times New Roman" w:hAnsi="Times New Roman" w:eastAsia="仿宋_GB2312" w:cs="Times New Roman"/>
          <w:b/>
          <w:kern w:val="0"/>
          <w:sz w:val="32"/>
          <w:szCs w:val="32"/>
          <w:lang w:bidi="ar"/>
        </w:rPr>
      </w:pPr>
      <w:r>
        <w:rPr>
          <w:rFonts w:hint="default" w:ascii="Times New Roman" w:hAnsi="Times New Roman" w:eastAsia="仿宋_GB2312" w:cs="Times New Roman"/>
          <w:b/>
          <w:kern w:val="0"/>
          <w:sz w:val="32"/>
          <w:szCs w:val="32"/>
          <w:lang w:bidi="ar"/>
        </w:rPr>
        <w:t>（</w:t>
      </w:r>
      <w:r>
        <w:rPr>
          <w:rFonts w:hint="default" w:ascii="Times New Roman" w:hAnsi="Times New Roman" w:eastAsia="仿宋_GB2312" w:cs="Times New Roman"/>
          <w:b/>
          <w:kern w:val="0"/>
          <w:sz w:val="32"/>
          <w:szCs w:val="32"/>
          <w:lang w:val="en-US" w:eastAsia="zh-CN" w:bidi="ar"/>
        </w:rPr>
        <w:t>二</w:t>
      </w:r>
      <w:r>
        <w:rPr>
          <w:rFonts w:hint="default" w:ascii="Times New Roman" w:hAnsi="Times New Roman" w:eastAsia="仿宋_GB2312" w:cs="Times New Roman"/>
          <w:b/>
          <w:kern w:val="0"/>
          <w:sz w:val="32"/>
          <w:szCs w:val="32"/>
          <w:lang w:bidi="ar"/>
        </w:rPr>
        <w:t>）满足公共利益需要</w:t>
      </w:r>
    </w:p>
    <w:p w14:paraId="2C697098">
      <w:pPr>
        <w:spacing w:line="580" w:lineRule="exact"/>
        <w:ind w:firstLine="60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1.空间合规</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全部位于城镇开发边界内，符合两级国土空间总体规划，无生态、永久基本农田冲突，满足自然资规</w:t>
      </w:r>
      <w:r>
        <w:rPr>
          <w:rFonts w:hint="default"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eastAsia="zh-CN"/>
        </w:rPr>
        <w:t>202</w:t>
      </w:r>
      <w:r>
        <w:rPr>
          <w:rFonts w:hint="default"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rPr>
        <w:t>7号成片开发前置空间条件。</w:t>
      </w:r>
    </w:p>
    <w:p w14:paraId="4AFBC6BF">
      <w:pPr>
        <w:spacing w:line="580" w:lineRule="exact"/>
        <w:ind w:firstLine="60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2.公益用地达标</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片区公益性用地占比</w:t>
      </w:r>
      <w:r>
        <w:rPr>
          <w:rFonts w:hint="default" w:ascii="Times New Roman" w:hAnsi="Times New Roman" w:eastAsia="仿宋_GB2312" w:cs="Times New Roman"/>
          <w:sz w:val="30"/>
          <w:szCs w:val="30"/>
          <w:lang w:val="en-US" w:eastAsia="zh-CN"/>
        </w:rPr>
        <w:t>40.64</w:t>
      </w:r>
      <w:r>
        <w:rPr>
          <w:rFonts w:hint="default" w:ascii="Times New Roman" w:hAnsi="Times New Roman" w:eastAsia="仿宋_GB2312" w:cs="Times New Roman"/>
          <w:sz w:val="30"/>
          <w:szCs w:val="30"/>
        </w:rPr>
        <w:t>%，高于国家40%最低管控标准，涵盖交通、绿地</w:t>
      </w:r>
      <w:r>
        <w:rPr>
          <w:rFonts w:hint="default" w:ascii="Times New Roman" w:hAnsi="Times New Roman" w:eastAsia="仿宋_GB2312" w:cs="Times New Roman"/>
          <w:sz w:val="30"/>
          <w:szCs w:val="30"/>
          <w:lang w:val="en-US" w:eastAsia="zh-CN"/>
        </w:rPr>
        <w:t>等类</w:t>
      </w:r>
      <w:r>
        <w:rPr>
          <w:rFonts w:hint="default" w:ascii="Times New Roman" w:hAnsi="Times New Roman" w:eastAsia="仿宋_GB2312" w:cs="Times New Roman"/>
          <w:sz w:val="30"/>
          <w:szCs w:val="30"/>
        </w:rPr>
        <w:t>型普惠公共设施。</w:t>
      </w:r>
    </w:p>
    <w:p w14:paraId="445D2BB8">
      <w:pPr>
        <w:spacing w:line="580" w:lineRule="exact"/>
        <w:ind w:firstLine="60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3.纳入法定计划</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成片开发已纳入</w:t>
      </w:r>
      <w:r>
        <w:rPr>
          <w:rFonts w:hint="default" w:ascii="Times New Roman" w:hAnsi="Times New Roman" w:eastAsia="仿宋_GB2312" w:cs="Times New Roman"/>
          <w:sz w:val="30"/>
          <w:szCs w:val="30"/>
          <w:lang w:val="en-US" w:eastAsia="zh-CN"/>
        </w:rPr>
        <w:t>赣榆区</w:t>
      </w:r>
      <w:r>
        <w:rPr>
          <w:rFonts w:hint="default" w:ascii="Times New Roman" w:hAnsi="Times New Roman" w:eastAsia="仿宋_GB2312" w:cs="Times New Roman"/>
          <w:sz w:val="30"/>
          <w:szCs w:val="30"/>
        </w:rPr>
        <w:t>年度国民经济和社会发展计划，履行人大审议程序，满足《土地管理法》第四十五条成片开发法定要件。</w:t>
      </w:r>
    </w:p>
    <w:p w14:paraId="7365DA6F">
      <w:pPr>
        <w:spacing w:line="580" w:lineRule="exact"/>
        <w:ind w:firstLine="600"/>
        <w:jc w:val="both"/>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val="en-US" w:eastAsia="zh-CN"/>
        </w:rPr>
        <w:t>4</w:t>
      </w:r>
      <w:r>
        <w:rPr>
          <w:rFonts w:hint="default" w:ascii="Times New Roman" w:hAnsi="Times New Roman" w:eastAsia="仿宋_GB2312" w:cs="Times New Roman"/>
          <w:sz w:val="30"/>
          <w:szCs w:val="30"/>
        </w:rPr>
        <w:t>.效益普惠均衡</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开发成果面向全体辖区居民开放，安置住房定向供给本地拆迁群众，开发资金闭环用于片区公共配套建设。</w:t>
      </w:r>
    </w:p>
    <w:p w14:paraId="3EDBB40C">
      <w:pPr>
        <w:ind w:firstLine="640"/>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、成片开发土地功能</w:t>
      </w:r>
    </w:p>
    <w:p w14:paraId="01C0CC0D">
      <w:pPr>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本次</w:t>
      </w:r>
      <w:r>
        <w:rPr>
          <w:rFonts w:hint="default" w:ascii="Times New Roman" w:hAnsi="Times New Roman" w:eastAsia="仿宋_GB2312" w:cs="Times New Roman"/>
          <w:sz w:val="30"/>
          <w:szCs w:val="30"/>
          <w:lang w:eastAsia="zh-CN"/>
        </w:rPr>
        <w:t>石桥镇新宅1号片区（赣榆区SM320707-2026-002号）</w:t>
      </w:r>
      <w:r>
        <w:rPr>
          <w:rFonts w:hint="default" w:ascii="Times New Roman" w:hAnsi="Times New Roman" w:eastAsia="仿宋_GB2312" w:cs="Times New Roman"/>
          <w:sz w:val="30"/>
          <w:szCs w:val="30"/>
        </w:rPr>
        <w:t>片区总用地面积</w:t>
      </w:r>
      <w:r>
        <w:rPr>
          <w:rFonts w:hint="default" w:ascii="Times New Roman" w:hAnsi="Times New Roman" w:eastAsia="仿宋_GB2312" w:cs="Times New Roman"/>
          <w:sz w:val="30"/>
          <w:szCs w:val="30"/>
          <w:lang w:eastAsia="zh-CN"/>
        </w:rPr>
        <w:t>15.5835</w:t>
      </w:r>
      <w:r>
        <w:rPr>
          <w:rFonts w:hint="default" w:ascii="Times New Roman" w:hAnsi="Times New Roman" w:eastAsia="仿宋_GB2312" w:cs="Times New Roman"/>
          <w:sz w:val="30"/>
          <w:szCs w:val="30"/>
        </w:rPr>
        <w:t>公顷，依据</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赣榆区石桥镇新宅片区详细规划</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，片区土地规划用途及占比详见下表。</w:t>
      </w:r>
    </w:p>
    <w:p w14:paraId="03FBBB7C">
      <w:pPr>
        <w:jc w:val="center"/>
        <w:rPr>
          <w:rFonts w:hint="default" w:ascii="Times New Roman" w:hAnsi="Times New Roman" w:eastAsia="仿宋_GB2312" w:cs="Times New Roman"/>
          <w:b/>
          <w:bCs/>
          <w:sz w:val="28"/>
          <w:szCs w:val="28"/>
        </w:rPr>
      </w:pPr>
    </w:p>
    <w:p w14:paraId="18755EBD">
      <w:pPr>
        <w:jc w:val="center"/>
        <w:rPr>
          <w:rFonts w:hint="default" w:ascii="Times New Roman" w:hAnsi="Times New Roman" w:eastAsia="仿宋_GB2312" w:cs="Times New Roman"/>
          <w:b/>
          <w:bCs/>
          <w:sz w:val="28"/>
          <w:szCs w:val="28"/>
        </w:rPr>
      </w:pPr>
    </w:p>
    <w:p w14:paraId="7B3FBB9A">
      <w:pPr>
        <w:jc w:val="center"/>
        <w:rPr>
          <w:rFonts w:hint="default" w:ascii="Times New Roman" w:hAnsi="Times New Roman" w:eastAsia="仿宋_GB2312" w:cs="Times New Roman"/>
          <w:b/>
          <w:bCs/>
          <w:sz w:val="28"/>
          <w:szCs w:val="28"/>
        </w:rPr>
      </w:pPr>
    </w:p>
    <w:p w14:paraId="68E3E666">
      <w:pPr>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土地规划用途分类面积表</w:t>
      </w:r>
    </w:p>
    <w:tbl>
      <w:tblPr>
        <w:tblStyle w:val="15"/>
        <w:tblW w:w="80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56"/>
        <w:gridCol w:w="2050"/>
        <w:gridCol w:w="1872"/>
      </w:tblGrid>
      <w:tr w14:paraId="6AE8D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1A4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cs="Times New Roman"/>
                <w:i w:val="0"/>
                <w:iCs w:val="0"/>
                <w:color w:val="000000"/>
                <w:sz w:val="22"/>
                <w:szCs w:val="22"/>
                <w:u w:val="none"/>
                <w:lang w:val="en-US" w:eastAsia="zh-CN"/>
              </w:rPr>
              <w:t>规划用途分类</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BD7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cs="Times New Roman"/>
                <w:i w:val="0"/>
                <w:iCs w:val="0"/>
                <w:color w:val="000000"/>
                <w:sz w:val="22"/>
                <w:szCs w:val="22"/>
                <w:u w:val="none"/>
                <w:lang w:val="en-US" w:eastAsia="zh-CN"/>
              </w:rPr>
              <w:t>面积（公顷）</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67B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eastAsia="zh-CN"/>
              </w:rPr>
            </w:pPr>
            <w:r>
              <w:rPr>
                <w:rFonts w:hint="default" w:ascii="Times New Roman" w:hAnsi="Times New Roman" w:cs="Times New Roman"/>
                <w:i w:val="0"/>
                <w:iCs w:val="0"/>
                <w:color w:val="000000"/>
                <w:sz w:val="22"/>
                <w:szCs w:val="22"/>
                <w:u w:val="none"/>
                <w:lang w:val="en-US" w:eastAsia="zh-CN"/>
              </w:rPr>
              <w:t>占比（%）</w:t>
            </w:r>
          </w:p>
        </w:tc>
      </w:tr>
      <w:tr w14:paraId="7A2D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298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38"/>
                <w:rFonts w:hint="default" w:ascii="Times New Roman" w:hAnsi="Times New Roman" w:cs="Times New Roman"/>
                <w:lang w:val="en-US" w:eastAsia="zh-CN" w:bidi="ar"/>
              </w:rPr>
              <w:t>居住用地面积</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A84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8.342</w:t>
            </w:r>
            <w:r>
              <w:rPr>
                <w:rFonts w:hint="default" w:ascii="Times New Roman" w:hAnsi="Times New Roman" w:cs="Times New Roman"/>
                <w:i w:val="0"/>
                <w:iCs w:val="0"/>
                <w:color w:val="000000"/>
                <w:kern w:val="0"/>
                <w:sz w:val="22"/>
                <w:szCs w:val="22"/>
                <w:u w:val="none"/>
                <w:lang w:val="en-US" w:eastAsia="zh-CN" w:bidi="ar"/>
              </w:rPr>
              <w:t>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8BA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53.53 </w:t>
            </w:r>
          </w:p>
        </w:tc>
      </w:tr>
      <w:tr w14:paraId="062E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AE5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38"/>
                <w:rFonts w:hint="default" w:ascii="Times New Roman" w:hAnsi="Times New Roman" w:cs="Times New Roman"/>
                <w:lang w:val="en-US" w:eastAsia="zh-CN" w:bidi="ar"/>
              </w:rPr>
              <w:t>公共管理与公共服务用地面积</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9CB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AE1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0.00 </w:t>
            </w:r>
          </w:p>
        </w:tc>
      </w:tr>
      <w:tr w14:paraId="53A24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0AA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38"/>
                <w:rFonts w:hint="default" w:ascii="Times New Roman" w:hAnsi="Times New Roman" w:cs="Times New Roman"/>
                <w:lang w:val="en-US" w:eastAsia="zh-CN" w:bidi="ar"/>
              </w:rPr>
              <w:t>商业服务业用地面积</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0789">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3.0108</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851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19.32 </w:t>
            </w:r>
          </w:p>
        </w:tc>
      </w:tr>
      <w:tr w14:paraId="6DAB1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873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38"/>
                <w:rFonts w:hint="default" w:ascii="Times New Roman" w:hAnsi="Times New Roman" w:cs="Times New Roman"/>
                <w:lang w:val="en-US" w:eastAsia="zh-CN" w:bidi="ar"/>
              </w:rPr>
              <w:t>工矿用地面积</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D770">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135D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0.00 </w:t>
            </w:r>
          </w:p>
        </w:tc>
      </w:tr>
      <w:tr w14:paraId="2CFF7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3D12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38"/>
                <w:rFonts w:hint="default" w:ascii="Times New Roman" w:hAnsi="Times New Roman" w:cs="Times New Roman"/>
                <w:lang w:val="en-US" w:eastAsia="zh-CN" w:bidi="ar"/>
              </w:rPr>
              <w:t>仓储用地面积</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3B9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2074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0.00 </w:t>
            </w:r>
          </w:p>
        </w:tc>
      </w:tr>
      <w:tr w14:paraId="68FBD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E58A">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38"/>
                <w:rFonts w:hint="default" w:ascii="Times New Roman" w:hAnsi="Times New Roman" w:cs="Times New Roman"/>
                <w:lang w:val="en-US" w:eastAsia="zh-CN" w:bidi="ar"/>
              </w:rPr>
              <w:t>交通运输用地面积</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D4F2">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2.5632</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18B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16.45 </w:t>
            </w:r>
          </w:p>
        </w:tc>
      </w:tr>
      <w:tr w14:paraId="348E1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DA5D">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38"/>
                <w:rFonts w:hint="default" w:ascii="Times New Roman" w:hAnsi="Times New Roman" w:cs="Times New Roman"/>
                <w:lang w:val="en-US" w:eastAsia="zh-CN" w:bidi="ar"/>
              </w:rPr>
              <w:t>公用设施用地面积</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113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298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0.00 </w:t>
            </w:r>
          </w:p>
        </w:tc>
      </w:tr>
      <w:tr w14:paraId="4896A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D2DE">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38"/>
                <w:rFonts w:hint="default" w:ascii="Times New Roman" w:hAnsi="Times New Roman" w:cs="Times New Roman"/>
                <w:lang w:val="en-US" w:eastAsia="zh-CN" w:bidi="ar"/>
              </w:rPr>
              <w:t>绿地与开敞空间用地面积</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9BD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1.6675</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C398">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10.70 </w:t>
            </w:r>
          </w:p>
        </w:tc>
      </w:tr>
      <w:tr w14:paraId="5CC3E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925F">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Style w:val="38"/>
                <w:rFonts w:hint="default" w:ascii="Times New Roman" w:hAnsi="Times New Roman" w:cs="Times New Roman"/>
                <w:lang w:val="en-US" w:eastAsia="zh-CN" w:bidi="ar"/>
              </w:rPr>
              <w:t>特殊用地面积</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DC44">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0.0000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10F7">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0.00 </w:t>
            </w:r>
          </w:p>
        </w:tc>
      </w:tr>
      <w:tr w14:paraId="79209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2D7E">
            <w:pPr>
              <w:keepNext w:val="0"/>
              <w:keepLines w:val="0"/>
              <w:widowControl/>
              <w:suppressLineNumbers w:val="0"/>
              <w:ind w:left="0" w:leftChars="0" w:firstLine="0" w:firstLineChars="0"/>
              <w:jc w:val="center"/>
              <w:textAlignment w:val="center"/>
              <w:rPr>
                <w:rStyle w:val="38"/>
                <w:rFonts w:hint="default" w:ascii="Times New Roman" w:hAnsi="Times New Roman" w:cs="Times New Roman"/>
                <w:lang w:val="en-US" w:eastAsia="zh-CN" w:bidi="ar"/>
              </w:rPr>
            </w:pPr>
            <w:r>
              <w:rPr>
                <w:rStyle w:val="38"/>
                <w:rFonts w:hint="default" w:ascii="Times New Roman" w:hAnsi="Times New Roman" w:cs="Times New Roman"/>
                <w:lang w:val="en-US" w:eastAsia="zh-CN" w:bidi="ar"/>
              </w:rPr>
              <w:t>留白用地面积</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9E35">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0.0000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35C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0.00 </w:t>
            </w:r>
          </w:p>
        </w:tc>
      </w:tr>
      <w:tr w14:paraId="0052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4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2470">
            <w:pPr>
              <w:keepNext w:val="0"/>
              <w:keepLines w:val="0"/>
              <w:widowControl/>
              <w:suppressLineNumbers w:val="0"/>
              <w:ind w:left="0" w:leftChars="0" w:firstLine="0" w:firstLineChars="0"/>
              <w:jc w:val="center"/>
              <w:textAlignment w:val="center"/>
              <w:rPr>
                <w:rStyle w:val="38"/>
                <w:rFonts w:hint="default" w:ascii="Times New Roman" w:hAnsi="Times New Roman" w:cs="Times New Roman"/>
                <w:lang w:val="en-US" w:eastAsia="zh-CN" w:bidi="ar"/>
              </w:rPr>
            </w:pPr>
            <w:r>
              <w:rPr>
                <w:rStyle w:val="38"/>
                <w:rFonts w:hint="default" w:ascii="Times New Roman" w:hAnsi="Times New Roman" w:cs="Times New Roman"/>
                <w:lang w:val="en-US" w:eastAsia="zh-CN" w:bidi="ar"/>
              </w:rPr>
              <w:t>合计</w:t>
            </w:r>
          </w:p>
        </w:tc>
        <w:tc>
          <w:tcPr>
            <w:tcW w:w="2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6D2B6">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i w:val="0"/>
                <w:iCs w:val="0"/>
                <w:color w:val="000000"/>
                <w:kern w:val="0"/>
                <w:sz w:val="22"/>
                <w:szCs w:val="22"/>
                <w:u w:val="none"/>
                <w:lang w:val="en-US" w:eastAsia="zh-CN" w:bidi="ar"/>
              </w:rPr>
              <w:t>15.5835</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6D13">
            <w:pPr>
              <w:keepNext w:val="0"/>
              <w:keepLines w:val="0"/>
              <w:widowControl/>
              <w:suppressLineNumbers w:val="0"/>
              <w:ind w:left="0" w:leftChars="0" w:firstLine="0" w:firstLineChars="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100.00</w:t>
            </w:r>
          </w:p>
        </w:tc>
      </w:tr>
    </w:tbl>
    <w:p w14:paraId="5D9D6E5D">
      <w:pPr>
        <w:ind w:firstLine="600" w:firstLineChars="200"/>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由上表可见，片区居住用地占比53.53%，为片区核心主导用地类型，其中2.1029公顷居住用地为安置住宅，占比13.49%；其次为商业服务业用地类型，占比19.32%；无工矿、仓储等产业类用地规划布局。交通运输、绿地与开敞空间等公益性用地合计占比40.64%（含居住用地里的安置住宅占比13.49%），高于《土地征收成片开发标准》（自然资规〔</w:t>
      </w:r>
      <w:r>
        <w:rPr>
          <w:rFonts w:hint="default" w:ascii="Times New Roman" w:hAnsi="Times New Roman" w:eastAsia="仿宋_GB2312" w:cs="Times New Roman"/>
          <w:sz w:val="30"/>
          <w:szCs w:val="30"/>
          <w:lang w:eastAsia="zh-CN"/>
        </w:rPr>
        <w:t>202</w:t>
      </w:r>
      <w:r>
        <w:rPr>
          <w:rFonts w:hint="default" w:ascii="Times New Roman" w:hAnsi="Times New Roman" w:eastAsia="仿宋_GB2312" w:cs="Times New Roman"/>
          <w:sz w:val="30"/>
          <w:szCs w:val="30"/>
          <w:lang w:val="en-US" w:eastAsia="zh-CN"/>
        </w:rPr>
        <w:t>3〕7号）规定的公益性用地不低于40%的管控底线，完全匹配居住完善型成片开发单元管控要求。</w:t>
      </w:r>
    </w:p>
    <w:p w14:paraId="4C570411">
      <w:pPr>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片区开发以居住安居为核心功能，统筹建设片区主次路网、综合公园绿地等市政及生态配套，开发目标聚焦老旧村庄整治、人居环境提质、民生配套短板补齐，各类配套设施均面向片区居民普惠开放，符合法定公共利益开发导向。</w:t>
      </w:r>
    </w:p>
    <w:p w14:paraId="74BEBACA">
      <w:pPr>
        <w:ind w:firstLine="640"/>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val="en-US" w:eastAsia="zh-CN"/>
        </w:rPr>
        <w:t>结论</w:t>
      </w:r>
    </w:p>
    <w:p w14:paraId="06948357">
      <w:pPr>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综上，在上述成片开发范围内开展土地征收符合公共利益。</w:t>
      </w:r>
    </w:p>
    <w:p w14:paraId="2A48AC87">
      <w:pPr>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特此说明。</w:t>
      </w:r>
    </w:p>
    <w:p w14:paraId="3E851EBC">
      <w:pPr>
        <w:rPr>
          <w:rFonts w:hint="default" w:ascii="Times New Roman" w:hAnsi="Times New Roman" w:eastAsia="仿宋_GB2312" w:cs="Times New Roman"/>
          <w:sz w:val="30"/>
          <w:szCs w:val="30"/>
        </w:rPr>
      </w:pPr>
    </w:p>
    <w:p w14:paraId="16042B0E">
      <w:pPr>
        <w:rPr>
          <w:rFonts w:hint="default" w:ascii="Times New Roman" w:hAnsi="Times New Roman" w:eastAsia="仿宋_GB2312" w:cs="Times New Roman"/>
          <w:sz w:val="30"/>
          <w:szCs w:val="30"/>
        </w:rPr>
      </w:pPr>
    </w:p>
    <w:p w14:paraId="69685B71">
      <w:pPr>
        <w:jc w:val="center"/>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 xml:space="preserve">                          连云港市赣榆区人民政府</w:t>
      </w:r>
    </w:p>
    <w:p w14:paraId="70D18EA4">
      <w:pPr>
        <w:keepNext w:val="0"/>
        <w:keepLines w:val="0"/>
        <w:pageBreakBefore w:val="0"/>
        <w:widowControl w:val="0"/>
        <w:kinsoku/>
        <w:wordWrap/>
        <w:overflowPunct/>
        <w:topLinePunct w:val="0"/>
        <w:autoSpaceDE/>
        <w:autoSpaceDN/>
        <w:bidi w:val="0"/>
        <w:adjustRightInd/>
        <w:snapToGrid/>
        <w:spacing w:line="540" w:lineRule="exact"/>
        <w:ind w:right="0" w:firstLine="4800" w:firstLineChars="16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0"/>
          <w:szCs w:val="30"/>
          <w:lang w:val="en-US" w:eastAsia="zh-CN"/>
        </w:rPr>
        <w:t xml:space="preserve">  </w:t>
      </w:r>
      <w:r>
        <w:rPr>
          <w:rFonts w:hint="eastAsia" w:eastAsia="仿宋_GB2312" w:cs="Times New Roman"/>
          <w:sz w:val="30"/>
          <w:szCs w:val="30"/>
          <w:lang w:val="en-US" w:eastAsia="zh-CN"/>
        </w:rPr>
        <w:t xml:space="preserve"> </w:t>
      </w:r>
      <w:r>
        <w:rPr>
          <w:rFonts w:hint="default" w:ascii="Times New Roman" w:hAnsi="Times New Roman" w:eastAsia="仿宋_GB2312" w:cs="Times New Roman"/>
          <w:sz w:val="30"/>
          <w:szCs w:val="30"/>
          <w:lang w:val="en-US" w:eastAsia="zh-CN"/>
        </w:rPr>
        <w:t>2026年</w:t>
      </w:r>
      <w:r>
        <w:rPr>
          <w:rFonts w:hint="eastAsia" w:ascii="Times New Roman" w:hAnsi="Times New Roman" w:eastAsia="仿宋_GB2312" w:cs="Times New Roman"/>
          <w:sz w:val="30"/>
          <w:szCs w:val="30"/>
          <w:lang w:val="en-US" w:eastAsia="zh-CN"/>
        </w:rPr>
        <w:t>9</w:t>
      </w:r>
      <w:r>
        <w:rPr>
          <w:rFonts w:hint="default" w:ascii="Times New Roman" w:hAnsi="Times New Roman" w:eastAsia="仿宋_GB2312" w:cs="Times New Roman"/>
          <w:sz w:val="30"/>
          <w:szCs w:val="30"/>
          <w:lang w:val="en-US" w:eastAsia="zh-CN"/>
        </w:rPr>
        <w:t>月</w:t>
      </w:r>
      <w:r>
        <w:rPr>
          <w:rFonts w:hint="eastAsia" w:ascii="Times New Roman" w:hAnsi="Times New Roman" w:eastAsia="仿宋_GB2312" w:cs="Times New Roman"/>
          <w:sz w:val="30"/>
          <w:szCs w:val="30"/>
          <w:lang w:val="en-US" w:eastAsia="zh-CN"/>
        </w:rPr>
        <w:t>1</w:t>
      </w:r>
      <w:r>
        <w:rPr>
          <w:rFonts w:hint="default" w:ascii="Times New Roman" w:hAnsi="Times New Roman" w:eastAsia="仿宋_GB2312" w:cs="Times New Roman"/>
          <w:sz w:val="30"/>
          <w:szCs w:val="30"/>
          <w:lang w:val="en-US" w:eastAsia="zh-CN"/>
        </w:rPr>
        <w:t xml:space="preserve">日 </w:t>
      </w:r>
    </w:p>
    <w:sectPr>
      <w:footerReference r:id="rId4" w:type="default"/>
      <w:footerReference r:id="rId5" w:type="even"/>
      <w:pgSz w:w="11906" w:h="16838"/>
      <w:pgMar w:top="1814" w:right="1531" w:bottom="1985" w:left="1531" w:header="720"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70B187-3179-484F-A029-DB830344C0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00E8294-5EA6-442E-9014-7573F1658C3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3" w:fontKey="{3E145AB0-4417-4A82-97C5-2290591DC8A6}"/>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D142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459E0">
    <w:pPr>
      <w:pStyle w:val="11"/>
      <w:rPr>
        <w:rFonts w:ascii="Times New Roman" w:hAnsi="Times New Roman" w:cs="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1073F">
                          <w:pPr>
                            <w:pStyle w:val="1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F71073F">
                    <w:pPr>
                      <w:pStyle w:val="1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r>
      <w:rPr>
        <w:rFonts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margin">
                <wp:posOffset>5527675</wp:posOffset>
              </wp:positionH>
              <wp:positionV relativeFrom="paragraph">
                <wp:posOffset>19050</wp:posOffset>
              </wp:positionV>
              <wp:extent cx="76200" cy="204470"/>
              <wp:effectExtent l="0" t="0" r="0" b="0"/>
              <wp:wrapNone/>
              <wp:docPr id="1256416831" name="文本框 1"/>
              <wp:cNvGraphicFramePr/>
              <a:graphic xmlns:a="http://schemas.openxmlformats.org/drawingml/2006/main">
                <a:graphicData uri="http://schemas.microsoft.com/office/word/2010/wordprocessingShape">
                  <wps:wsp>
                    <wps:cNvSpPr txBox="1"/>
                    <wps:spPr>
                      <a:xfrm>
                        <a:off x="0" y="0"/>
                        <a:ext cx="76200" cy="204470"/>
                      </a:xfrm>
                      <a:prstGeom prst="rect">
                        <a:avLst/>
                      </a:prstGeom>
                      <a:noFill/>
                      <a:ln w="6350">
                        <a:noFill/>
                      </a:ln>
                      <a:effectLst/>
                    </wps:spPr>
                    <wps:txbx>
                      <w:txbxContent>
                        <w:p w14:paraId="5CEA8972">
                          <w:pPr>
                            <w:pStyle w:val="11"/>
                            <w:rPr>
                              <w:rFonts w:hint="eastAsia"/>
                              <w:sz w:val="28"/>
                              <w:szCs w:val="28"/>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left:435.25pt;margin-top:1.5pt;height:16.1pt;width:6pt;mso-position-horizontal-relative:margin;z-index:251659264;mso-width-relative:page;mso-height-relative:page;" filled="f" stroked="f" coordsize="21600,21600" o:gfxdata="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TEiuQtUAAAAIAQAADwAAAAAAAAABACAAAAAiAAAAZHJz&#10;L2Rvd25yZXYueG1sUEsBAhQAFAAAAAgAh07iQO1wE8RAAgAAawQAAA4AAAAAAAAAAQAgAAAAJAEA&#10;AGRycy9lMm9Eb2MueG1sUEsFBgAAAAAGAAYAWQEAANYFAAAAAA==&#10;">
              <v:fill on="f" focussize="0,0"/>
              <v:stroke on="f" weight="0.5pt"/>
              <v:imagedata o:title=""/>
              <o:lock v:ext="edit" aspectratio="f"/>
              <v:textbox inset="0mm,0mm,0mm,0mm" style="mso-fit-shape-to-text:t;">
                <w:txbxContent>
                  <w:p w14:paraId="5CEA8972">
                    <w:pPr>
                      <w:pStyle w:val="11"/>
                      <w:rPr>
                        <w:rFonts w:hint="eastAsia"/>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BB68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84A033"/>
    <w:multiLevelType w:val="singleLevel"/>
    <w:tmpl w:val="5884A0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BB4"/>
    <w:rsid w:val="00007CDC"/>
    <w:rsid w:val="00045A74"/>
    <w:rsid w:val="00083ADE"/>
    <w:rsid w:val="000B45BD"/>
    <w:rsid w:val="000C7A4F"/>
    <w:rsid w:val="000E2D02"/>
    <w:rsid w:val="00120286"/>
    <w:rsid w:val="0017267E"/>
    <w:rsid w:val="00187257"/>
    <w:rsid w:val="001C189B"/>
    <w:rsid w:val="0025635C"/>
    <w:rsid w:val="002976AF"/>
    <w:rsid w:val="002A2116"/>
    <w:rsid w:val="003111CA"/>
    <w:rsid w:val="00312F16"/>
    <w:rsid w:val="00343346"/>
    <w:rsid w:val="003B545E"/>
    <w:rsid w:val="003D27B9"/>
    <w:rsid w:val="00406BB4"/>
    <w:rsid w:val="00442917"/>
    <w:rsid w:val="00483CB1"/>
    <w:rsid w:val="004954BA"/>
    <w:rsid w:val="004F3B26"/>
    <w:rsid w:val="00585AC7"/>
    <w:rsid w:val="0059258B"/>
    <w:rsid w:val="005E53CC"/>
    <w:rsid w:val="00606380"/>
    <w:rsid w:val="006171FE"/>
    <w:rsid w:val="006608E0"/>
    <w:rsid w:val="00690C1C"/>
    <w:rsid w:val="006D27E6"/>
    <w:rsid w:val="00720CFD"/>
    <w:rsid w:val="00721C65"/>
    <w:rsid w:val="007779B5"/>
    <w:rsid w:val="007961EF"/>
    <w:rsid w:val="007F1EAF"/>
    <w:rsid w:val="008309FF"/>
    <w:rsid w:val="008B4DFB"/>
    <w:rsid w:val="008D653E"/>
    <w:rsid w:val="008F762C"/>
    <w:rsid w:val="00921EB9"/>
    <w:rsid w:val="00983A4C"/>
    <w:rsid w:val="009F2921"/>
    <w:rsid w:val="009F4CA9"/>
    <w:rsid w:val="00A135E1"/>
    <w:rsid w:val="00A919F8"/>
    <w:rsid w:val="00AB0110"/>
    <w:rsid w:val="00AF1894"/>
    <w:rsid w:val="00B3501B"/>
    <w:rsid w:val="00B74D94"/>
    <w:rsid w:val="00BD72A3"/>
    <w:rsid w:val="00BF7474"/>
    <w:rsid w:val="00C47186"/>
    <w:rsid w:val="00C55384"/>
    <w:rsid w:val="00D12FF9"/>
    <w:rsid w:val="00D25040"/>
    <w:rsid w:val="00D32DB5"/>
    <w:rsid w:val="00DF122D"/>
    <w:rsid w:val="00E23EB0"/>
    <w:rsid w:val="00E4344E"/>
    <w:rsid w:val="00E71ED0"/>
    <w:rsid w:val="00E92A29"/>
    <w:rsid w:val="00EE43A2"/>
    <w:rsid w:val="00F12E15"/>
    <w:rsid w:val="00FE459E"/>
    <w:rsid w:val="00FF3581"/>
    <w:rsid w:val="061004C1"/>
    <w:rsid w:val="0691563F"/>
    <w:rsid w:val="0B327A84"/>
    <w:rsid w:val="12915003"/>
    <w:rsid w:val="1C8F393E"/>
    <w:rsid w:val="1DB76593"/>
    <w:rsid w:val="22B440FE"/>
    <w:rsid w:val="26440536"/>
    <w:rsid w:val="28B66659"/>
    <w:rsid w:val="2A1B1842"/>
    <w:rsid w:val="2AFD0D8A"/>
    <w:rsid w:val="33320EA1"/>
    <w:rsid w:val="36A77D38"/>
    <w:rsid w:val="438E3FA8"/>
    <w:rsid w:val="485079C2"/>
    <w:rsid w:val="4D440DBA"/>
    <w:rsid w:val="4D8E2AC8"/>
    <w:rsid w:val="513B1B51"/>
    <w:rsid w:val="51FD00E3"/>
    <w:rsid w:val="526C6CA2"/>
    <w:rsid w:val="53046671"/>
    <w:rsid w:val="5CCD5E00"/>
    <w:rsid w:val="60733548"/>
    <w:rsid w:val="6C3E0B26"/>
    <w:rsid w:val="6D0E250D"/>
    <w:rsid w:val="6E581398"/>
    <w:rsid w:val="77C308D3"/>
    <w:rsid w:val="781910B1"/>
    <w:rsid w:val="7E8E2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F5597"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F5597" w:themeColor="accent1" w:themeShade="BF"/>
      <w:sz w:val="22"/>
      <w:szCs w:val="24"/>
      <w14:ligatures w14:val="standardContextual"/>
    </w:rPr>
  </w:style>
  <w:style w:type="paragraph" w:styleId="8">
    <w:name w:val="heading 7"/>
    <w:basedOn w:val="1"/>
    <w:next w:val="1"/>
    <w:link w:val="24"/>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after="160"/>
      <w:jc w:val="left"/>
    </w:pPr>
    <w:rPr>
      <w:rFonts w:asciiTheme="minorHAnsi" w:hAnsiTheme="minorHAnsi" w:eastAsiaTheme="minorEastAsia"/>
      <w:sz w:val="18"/>
      <w:szCs w:val="18"/>
      <w14:ligatures w14:val="standardContextual"/>
    </w:rPr>
  </w:style>
  <w:style w:type="paragraph" w:styleId="12">
    <w:name w:val="header"/>
    <w:basedOn w:val="1"/>
    <w:link w:val="36"/>
    <w:unhideWhenUsed/>
    <w:qFormat/>
    <w:uiPriority w:val="99"/>
    <w:pPr>
      <w:tabs>
        <w:tab w:val="center" w:pos="4153"/>
        <w:tab w:val="right" w:pos="8306"/>
      </w:tabs>
      <w:snapToGrid w:val="0"/>
      <w:spacing w:after="160"/>
      <w:jc w:val="center"/>
    </w:pPr>
    <w:rPr>
      <w:rFonts w:asciiTheme="minorHAnsi" w:hAnsiTheme="minorHAnsi" w:eastAsiaTheme="minorEastAsia"/>
      <w:sz w:val="18"/>
      <w:szCs w:val="18"/>
      <w14:ligatures w14:val="standardContextual"/>
    </w:rPr>
  </w:style>
  <w:style w:type="paragraph" w:styleId="13">
    <w:name w:val="Subtitle"/>
    <w:basedOn w:val="1"/>
    <w:next w:val="1"/>
    <w:link w:val="28"/>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78" w:lineRule="auto"/>
      <w:jc w:val="center"/>
    </w:pPr>
    <w:rPr>
      <w:rFonts w:asciiTheme="minorHAnsi" w:hAnsiTheme="minorHAnsi" w:eastAsiaTheme="minorEastAsia"/>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after="160" w:line="278" w:lineRule="auto"/>
      <w:ind w:left="720"/>
      <w:contextualSpacing/>
      <w:jc w:val="left"/>
    </w:pPr>
    <w:rPr>
      <w:rFonts w:asciiTheme="minorHAnsi" w:hAnsiTheme="minorHAnsi" w:eastAsiaTheme="minorEastAsia"/>
      <w:sz w:val="22"/>
      <w:szCs w:val="24"/>
      <w14:ligatures w14:val="standardContextual"/>
    </w:rPr>
  </w:style>
  <w:style w:type="character" w:customStyle="1" w:styleId="32">
    <w:name w:val="明显强调1"/>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i/>
      <w:iCs/>
      <w:color w:val="2F5597" w:themeColor="accent1" w:themeShade="BF"/>
      <w:sz w:val="22"/>
      <w:szCs w:val="24"/>
      <w14:ligatures w14:val="standardContextual"/>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明显参考1"/>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 w:type="character" w:customStyle="1" w:styleId="38">
    <w:name w:val="font01"/>
    <w:basedOn w:val="1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ebc9742f-6070-409a-bd22-11e234554797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500F1069</paraID>
      <start>33</start>
      <end>35</end>
      <status>modified</status>
      <modifiedWord>》《</modifiedWord>
      <trackRevisions>false</trackRevisions>
    </reviewItem>
    <reviewItem>
      <errorID>dd57fc68-5e13-458d-a634-571f2e8a3ae0</errorID>
      <errorWord>）</errorWord>
      <group>L1_Punc</group>
      <groupName>标点问题</groupName>
      <ability>L2_Punc_CN</ability>
      <abilityName>标点符号问题</abilityName>
      <candidateList>
        <item>）。</item>
      </candidateList>
      <explain/>
      <paraID>1E30BC64</paraID>
      <start>124</start>
      <end>126</end>
      <status>modified</status>
      <modifiedWord>）。</modifiedWord>
      <trackRevisions>false</trackRevisions>
    </reviewItem>
    <reviewItem>
      <errorID>ca15dbef-5816-4a34-b825-fd2cf080930f</errorID>
      <errorWord>日至2026年</errorWord>
      <group>L1_Word</group>
      <groupName>字词问题</groupName>
      <ability>L2_Typo</ability>
      <abilityName>字词错误</abilityName>
      <candidateList>
        <item>日起至2026年</item>
      </candidateList>
      <explain/>
      <paraID> 806A8AD</paraID>
      <start>75</start>
      <end>82</end>
      <status>ignored</status>
      <modifiedWord/>
      <trackRevisions>false</trackRevisions>
    </reviewItem>
    <reviewItem>
      <errorID>b6dc2c65-5aa1-41d7-a8f1-07414d15ea8c</errorID>
      <errorWord>法律、法规</errorWord>
      <group>L1_Word</group>
      <groupName>字词问题</groupName>
      <ability>L2_Typo</ability>
      <abilityName>字词错误</abilityName>
      <candidateList>
        <item>法律法规</item>
      </candidateList>
      <explain/>
      <paraID>45ACEC99</paraID>
      <start>218</start>
      <end>222</end>
      <status>modified</status>
      <modifiedWord>法律法规</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2DD3C4-398C-48C8-AACC-C97602580EDD}">
  <ds:schemaRefs/>
</ds:datastoreItem>
</file>

<file path=customXml/itemProps3.xml><?xml version="1.0" encoding="utf-8"?>
<ds:datastoreItem xmlns:ds="http://schemas.openxmlformats.org/officeDocument/2006/customXml" ds:itemID="{CEB31B31-5DF0-4B64-A0AF-E0C261961A84}">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3192</Words>
  <Characters>3829</Characters>
  <Lines>22</Lines>
  <Paragraphs>13</Paragraphs>
  <TotalTime>6</TotalTime>
  <ScaleCrop>false</ScaleCrop>
  <LinksUpToDate>false</LinksUpToDate>
  <CharactersWithSpaces>3940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2026-07-07T01:12:00Z</dcterms:created>
  <dc:creator>丽 骆</dc:creator>
  <cp:lastModifiedBy>陈年往事</cp:lastModifiedBy>
  <cp:lastPrinted>2026-09-01T09:37:00Z</cp:lastPrinted>
  <dcterms:modified xsi:type="dcterms:W3CDTF">2026-09-01T10:25:05Z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eyJoZGlkIjoiNjkwNGRkN2RiZmNiNjllOTA5YTcyY2U1YjkyMWNjOWQiLCJ1c2VySWQiOiI1MzkwMzE4MzMifQ==</vt:lpwstr>
  </property>
  <property fmtid="{D5CDD505-2E9C-101B-9397-08002B2CF9AE}" pid="3" name="KSOProductBuildVer">
    <vt:lpwstr>2052-12.1.0.28505</vt:lpwstr>
  </property>
  <property fmtid="{D5CDD505-2E9C-101B-9397-08002B2CF9AE}" pid="4" name="ICV">
    <vt:lpwstr>27E245B172A9431687B8B0C65A536F9A_13</vt:lpwstr>
  </property>
</Properties>
</file>