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727FC5">
      <w:pPr>
        <w:spacing w:line="360" w:lineRule="auto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片区范围示意图</w:t>
      </w:r>
    </w:p>
    <w:p w14:paraId="2A0C7D76">
      <w:pPr>
        <w:autoSpaceDE w:val="0"/>
        <w:spacing w:line="540" w:lineRule="exact"/>
        <w:ind w:firstLine="640" w:firstLineChars="200"/>
        <w:outlineLvl w:val="1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t>一、</w:t>
      </w:r>
      <w:r>
        <w:rPr>
          <w:rFonts w:hint="eastAsia" w:ascii="Times New Roman" w:hAnsi="Times New Roman" w:eastAsia="黑体" w:cs="Times New Roman"/>
          <w:sz w:val="32"/>
          <w:szCs w:val="32"/>
        </w:rPr>
        <w:t>赣榆经济开发区Ⅵ号片区</w:t>
      </w:r>
    </w:p>
    <w:p w14:paraId="5C4FCC8E">
      <w:pPr>
        <w:autoSpaceDE w:val="0"/>
        <w:spacing w:line="540" w:lineRule="exact"/>
        <w:ind w:firstLine="640" w:firstLineChars="200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成片开发片区范围位于宋庄镇，涉及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鲁王村</w:t>
      </w:r>
      <w:r>
        <w:rPr>
          <w:rFonts w:ascii="Times New Roman" w:hAnsi="Times New Roman" w:eastAsia="仿宋_GB2312" w:cs="Times New Roman"/>
          <w:sz w:val="32"/>
          <w:szCs w:val="32"/>
        </w:rPr>
        <w:t>。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东至工厂，南至安安大道，西至青三线路，北至振兴路</w:t>
      </w:r>
      <w:r>
        <w:rPr>
          <w:rFonts w:ascii="Times New Roman" w:hAnsi="Times New Roman" w:eastAsia="仿宋_GB2312" w:cs="Times New Roman"/>
          <w:sz w:val="32"/>
          <w:szCs w:val="32"/>
        </w:rPr>
        <w:t>。总面积9.5083公顷（成片开发范围以最终批复为准）。</w:t>
      </w:r>
    </w:p>
    <w:p w14:paraId="4075ECAE">
      <w:pPr>
        <w:autoSpaceDE w:val="0"/>
        <w:spacing w:line="540" w:lineRule="exact"/>
        <w:rPr>
          <w:rFonts w:ascii="Times New Roman" w:hAnsi="Times New Roman" w:eastAsia="仿宋_GB2312" w:cs="Times New Roman"/>
          <w:sz w:val="32"/>
          <w:szCs w:val="32"/>
        </w:rPr>
      </w:pPr>
    </w:p>
    <w:p w14:paraId="6B3165F2">
      <w:pPr>
        <w:autoSpaceDE w:val="0"/>
        <w:rPr>
          <w:rFonts w:ascii="Times New Roman" w:hAnsi="Times New Roman" w:eastAsia="仿宋_GB2312" w:cs="Times New Roman"/>
          <w:sz w:val="28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eastAsia="仿宋_GB2312" w:cs="Times New Roman"/>
          <w:sz w:val="28"/>
        </w:rPr>
        <w:drawing>
          <wp:inline distT="0" distB="0" distL="0" distR="0">
            <wp:extent cx="5274310" cy="3729355"/>
            <wp:effectExtent l="0" t="0" r="254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15019">
      <w:pPr>
        <w:autoSpaceDE w:val="0"/>
        <w:spacing w:line="540" w:lineRule="exact"/>
        <w:ind w:firstLine="640" w:firstLineChars="200"/>
        <w:outlineLvl w:val="1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t>二、</w:t>
      </w:r>
      <w:r>
        <w:rPr>
          <w:rFonts w:hint="eastAsia" w:ascii="Times New Roman" w:hAnsi="Times New Roman" w:eastAsia="黑体" w:cs="Times New Roman"/>
          <w:sz w:val="32"/>
          <w:szCs w:val="32"/>
        </w:rPr>
        <w:t>赣榆经济开发区Ⅶ号片区</w:t>
      </w:r>
    </w:p>
    <w:p w14:paraId="2016C483">
      <w:pPr>
        <w:autoSpaceDE w:val="0"/>
        <w:spacing w:line="540" w:lineRule="exact"/>
        <w:ind w:firstLine="640" w:firstLineChars="200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成片开发片区范围位于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青口镇</w:t>
      </w:r>
      <w:r>
        <w:rPr>
          <w:rFonts w:ascii="Times New Roman" w:hAnsi="Times New Roman" w:eastAsia="仿宋_GB2312" w:cs="Times New Roman"/>
          <w:sz w:val="32"/>
          <w:szCs w:val="32"/>
        </w:rPr>
        <w:t>，涉及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河南</w:t>
      </w:r>
      <w:r>
        <w:rPr>
          <w:rFonts w:ascii="Times New Roman" w:hAnsi="Times New Roman" w:eastAsia="仿宋_GB2312" w:cs="Times New Roman"/>
          <w:sz w:val="32"/>
          <w:szCs w:val="32"/>
        </w:rPr>
        <w:t>社区。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东至镇南路，南至工厂</w:t>
      </w:r>
      <w:r>
        <w:rPr>
          <w:rFonts w:ascii="Times New Roman" w:hAnsi="Times New Roman" w:eastAsia="仿宋_GB2312" w:cs="Times New Roman"/>
          <w:sz w:val="32"/>
          <w:szCs w:val="32"/>
        </w:rPr>
        <w:t>，西至经二路，北至宁海路。总面积16.5884公顷（成片开发范围以最终批复为准）。</w:t>
      </w:r>
    </w:p>
    <w:p w14:paraId="305B18B0">
      <w:pPr>
        <w:autoSpaceDE w:val="0"/>
        <w:spacing w:line="540" w:lineRule="exact"/>
        <w:ind w:firstLine="640" w:firstLineChars="200"/>
        <w:rPr>
          <w:rFonts w:ascii="Times New Roman" w:hAnsi="Times New Roman" w:eastAsia="仿宋_GB2312" w:cs="Times New Roman"/>
          <w:sz w:val="32"/>
          <w:szCs w:val="32"/>
        </w:rPr>
      </w:pPr>
    </w:p>
    <w:p w14:paraId="549EE4D5">
      <w:pPr>
        <w:autoSpaceDE w:val="0"/>
        <w:rPr>
          <w:rFonts w:ascii="Times New Roman" w:hAnsi="Times New Roman" w:eastAsia="仿宋_GB2312" w:cs="Times New Roman"/>
          <w:sz w:val="28"/>
        </w:rPr>
      </w:pPr>
      <w:r>
        <w:rPr>
          <w:rFonts w:ascii="Times New Roman" w:hAnsi="Times New Roman" w:eastAsia="仿宋_GB2312" w:cs="Times New Roman"/>
          <w:sz w:val="28"/>
        </w:rPr>
        <w:drawing>
          <wp:inline distT="0" distB="0" distL="0" distR="0">
            <wp:extent cx="5274310" cy="3731895"/>
            <wp:effectExtent l="0" t="0" r="254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4398A">
      <w:pPr>
        <w:widowControl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br w:type="page"/>
      </w:r>
    </w:p>
    <w:p w14:paraId="66C4963B">
      <w:pPr>
        <w:autoSpaceDE w:val="0"/>
        <w:spacing w:line="540" w:lineRule="exact"/>
        <w:ind w:firstLine="640" w:firstLineChars="200"/>
        <w:outlineLvl w:val="1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t>三、</w:t>
      </w:r>
      <w:r>
        <w:rPr>
          <w:rFonts w:hint="eastAsia" w:ascii="Times New Roman" w:hAnsi="Times New Roman" w:eastAsia="黑体" w:cs="Times New Roman"/>
          <w:sz w:val="32"/>
          <w:szCs w:val="32"/>
        </w:rPr>
        <w:t>赣榆经济开发区Ⅳ号片区</w:t>
      </w:r>
    </w:p>
    <w:p w14:paraId="5736ABC8">
      <w:pPr>
        <w:autoSpaceDE w:val="0"/>
        <w:spacing w:line="540" w:lineRule="exact"/>
        <w:ind w:firstLine="640" w:firstLineChars="200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成片开发片区范围位于宋庄镇和青口镇，涉及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河南</w:t>
      </w:r>
      <w:r>
        <w:rPr>
          <w:rFonts w:ascii="Times New Roman" w:hAnsi="Times New Roman" w:eastAsia="仿宋_GB2312" w:cs="Times New Roman"/>
          <w:sz w:val="32"/>
          <w:szCs w:val="32"/>
        </w:rPr>
        <w:t>社区和东南社区。</w:t>
      </w:r>
      <w:r>
        <w:rPr>
          <w:rFonts w:hint="eastAsia" w:ascii="Times New Roman" w:hAnsi="Times New Roman" w:eastAsia="仿宋_GB2312" w:cs="Times New Roman"/>
          <w:sz w:val="32"/>
          <w:szCs w:val="32"/>
        </w:rPr>
        <w:t>东至东关南路，南至香港路</w:t>
      </w:r>
      <w:r>
        <w:rPr>
          <w:rFonts w:ascii="Times New Roman" w:hAnsi="Times New Roman" w:eastAsia="仿宋_GB2312" w:cs="Times New Roman"/>
          <w:sz w:val="32"/>
          <w:szCs w:val="32"/>
        </w:rPr>
        <w:t>，西至镇南路，北至宁海路。总面积37.4212公顷（成片开发范围以最终批复为准）。</w:t>
      </w:r>
    </w:p>
    <w:p w14:paraId="6D5BBC5D">
      <w:pPr>
        <w:autoSpaceDE w:val="0"/>
        <w:spacing w:line="540" w:lineRule="exact"/>
        <w:ind w:firstLine="640" w:firstLineChars="200"/>
        <w:rPr>
          <w:rFonts w:ascii="Times New Roman" w:hAnsi="Times New Roman" w:eastAsia="仿宋_GB2312" w:cs="Times New Roman"/>
          <w:sz w:val="32"/>
          <w:szCs w:val="32"/>
        </w:rPr>
      </w:pPr>
    </w:p>
    <w:p w14:paraId="7F8C04A6">
      <w:pPr>
        <w:spacing w:line="360" w:lineRule="auto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5274310" cy="3729355"/>
            <wp:effectExtent l="0" t="0" r="2540" b="44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C8B8F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7134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2025-03-20T01:08:24Z</dcterms:created>
  <dc:creator>Administrator</dc:creator>
  <cp:lastModifiedBy>青木</cp:lastModifiedBy>
  <dcterms:modified xsi:type="dcterms:W3CDTF">2025-03-20T01:08:34Z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eyJoZGlkIjoiZDQwYTI1MjY3MGQ5ODljOTY3OTRhNzgyYzY1OGJhNjkiLCJ1c2VySWQiOiIzODQ1NDIwNDUifQ==</vt:lpwstr>
  </property>
  <property fmtid="{D5CDD505-2E9C-101B-9397-08002B2CF9AE}" pid="4" name="ICV">
    <vt:lpwstr>7AA2C9590BB74DCF86B66F5FE128B22D_12</vt:lpwstr>
  </property>
</Properties>
</file>